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5B8CC" w14:textId="77777777" w:rsidR="00E820FD" w:rsidRDefault="00E820FD" w:rsidP="00E820FD">
      <w:pPr>
        <w:pStyle w:val="Heading1"/>
        <w:ind w:left="18" w:right="28"/>
        <w:jc w:val="center"/>
      </w:pPr>
      <w:r>
        <w:t>APPENDIX</w:t>
      </w:r>
      <w:r>
        <w:rPr>
          <w:spacing w:val="-2"/>
        </w:rPr>
        <w:t xml:space="preserve"> </w:t>
      </w:r>
      <w:r>
        <w:rPr>
          <w:spacing w:val="-10"/>
        </w:rPr>
        <w:t>C</w:t>
      </w:r>
    </w:p>
    <w:p w14:paraId="4A1F509C" w14:textId="77777777" w:rsidR="00E820FD" w:rsidRDefault="00E820FD" w:rsidP="00E820FD">
      <w:pPr>
        <w:spacing w:before="172"/>
        <w:ind w:left="100"/>
        <w:rPr>
          <w:b/>
        </w:rPr>
      </w:pPr>
      <w:r>
        <w:rPr>
          <w:b/>
        </w:rPr>
        <w:t>SELECTED</w:t>
      </w:r>
      <w:r>
        <w:rPr>
          <w:b/>
          <w:spacing w:val="-6"/>
        </w:rPr>
        <w:t xml:space="preserve"> </w:t>
      </w:r>
      <w:r>
        <w:rPr>
          <w:b/>
        </w:rPr>
        <w:t>ADDITIONAL</w:t>
      </w:r>
      <w:r>
        <w:rPr>
          <w:b/>
          <w:spacing w:val="-5"/>
        </w:rPr>
        <w:t xml:space="preserve"> </w:t>
      </w:r>
      <w:r>
        <w:rPr>
          <w:b/>
        </w:rPr>
        <w:t>DETAILS</w:t>
      </w:r>
      <w:r>
        <w:rPr>
          <w:b/>
          <w:spacing w:val="-1"/>
        </w:rPr>
        <w:t xml:space="preserve"> </w:t>
      </w:r>
      <w:r>
        <w:rPr>
          <w:b/>
        </w:rPr>
        <w:t>OF</w:t>
      </w:r>
      <w:r>
        <w:rPr>
          <w:b/>
          <w:spacing w:val="1"/>
        </w:rPr>
        <w:t xml:space="preserve"> </w:t>
      </w:r>
      <w:r>
        <w:rPr>
          <w:b/>
        </w:rPr>
        <w:t>SSBCI</w:t>
      </w:r>
      <w:r>
        <w:rPr>
          <w:b/>
          <w:spacing w:val="-3"/>
        </w:rPr>
        <w:t xml:space="preserve"> </w:t>
      </w:r>
      <w:r>
        <w:rPr>
          <w:b/>
        </w:rPr>
        <w:t>COMPLIANCE</w:t>
      </w:r>
      <w:r>
        <w:rPr>
          <w:b/>
          <w:spacing w:val="-5"/>
        </w:rPr>
        <w:t xml:space="preserve"> </w:t>
      </w:r>
      <w:r>
        <w:rPr>
          <w:b/>
          <w:spacing w:val="-2"/>
        </w:rPr>
        <w:t>REQUIREMENTS</w:t>
      </w:r>
    </w:p>
    <w:p w14:paraId="2E645D18" w14:textId="77777777" w:rsidR="00E820FD" w:rsidRDefault="00E820FD" w:rsidP="00E820FD">
      <w:pPr>
        <w:pStyle w:val="BodyText"/>
        <w:spacing w:before="167" w:line="249" w:lineRule="auto"/>
        <w:ind w:left="100" w:right="118"/>
      </w:pPr>
      <w:r>
        <w:t>All</w:t>
      </w:r>
      <w:r>
        <w:rPr>
          <w:spacing w:val="31"/>
        </w:rPr>
        <w:t xml:space="preserve"> </w:t>
      </w:r>
      <w:r>
        <w:t>managers</w:t>
      </w:r>
      <w:r>
        <w:rPr>
          <w:spacing w:val="32"/>
        </w:rPr>
        <w:t xml:space="preserve"> </w:t>
      </w:r>
      <w:r>
        <w:t>selected</w:t>
      </w:r>
      <w:r>
        <w:rPr>
          <w:spacing w:val="36"/>
        </w:rPr>
        <w:t xml:space="preserve"> </w:t>
      </w:r>
      <w:r>
        <w:t>to</w:t>
      </w:r>
      <w:r>
        <w:rPr>
          <w:spacing w:val="32"/>
        </w:rPr>
        <w:t xml:space="preserve"> </w:t>
      </w:r>
      <w:r>
        <w:t>create</w:t>
      </w:r>
      <w:r>
        <w:rPr>
          <w:spacing w:val="34"/>
        </w:rPr>
        <w:t xml:space="preserve"> </w:t>
      </w:r>
      <w:r>
        <w:t>or</w:t>
      </w:r>
      <w:r>
        <w:rPr>
          <w:spacing w:val="36"/>
        </w:rPr>
        <w:t xml:space="preserve"> </w:t>
      </w:r>
      <w:r>
        <w:t>manage</w:t>
      </w:r>
      <w:r>
        <w:rPr>
          <w:spacing w:val="36"/>
        </w:rPr>
        <w:t xml:space="preserve"> </w:t>
      </w:r>
      <w:r>
        <w:t>the</w:t>
      </w:r>
      <w:r>
        <w:rPr>
          <w:spacing w:val="35"/>
        </w:rPr>
        <w:t xml:space="preserve"> </w:t>
      </w:r>
      <w:r>
        <w:t>SEDI</w:t>
      </w:r>
      <w:r>
        <w:rPr>
          <w:spacing w:val="38"/>
        </w:rPr>
        <w:t xml:space="preserve"> </w:t>
      </w:r>
      <w:r>
        <w:t>Fund</w:t>
      </w:r>
      <w:r>
        <w:rPr>
          <w:spacing w:val="33"/>
        </w:rPr>
        <w:t xml:space="preserve"> </w:t>
      </w:r>
      <w:r>
        <w:t>must</w:t>
      </w:r>
      <w:r>
        <w:rPr>
          <w:spacing w:val="31"/>
        </w:rPr>
        <w:t xml:space="preserve"> </w:t>
      </w:r>
      <w:r>
        <w:t>adhere</w:t>
      </w:r>
      <w:r>
        <w:rPr>
          <w:spacing w:val="34"/>
        </w:rPr>
        <w:t xml:space="preserve"> </w:t>
      </w:r>
      <w:r>
        <w:t>to</w:t>
      </w:r>
      <w:r>
        <w:rPr>
          <w:spacing w:val="32"/>
        </w:rPr>
        <w:t xml:space="preserve"> </w:t>
      </w:r>
      <w:r>
        <w:t>SSBCI compliance</w:t>
      </w:r>
      <w:r>
        <w:rPr>
          <w:spacing w:val="25"/>
        </w:rPr>
        <w:t xml:space="preserve"> </w:t>
      </w:r>
      <w:r>
        <w:t>requirements</w:t>
      </w:r>
      <w:r>
        <w:rPr>
          <w:spacing w:val="27"/>
        </w:rPr>
        <w:t xml:space="preserve"> </w:t>
      </w:r>
      <w:r>
        <w:t>and</w:t>
      </w:r>
      <w:r>
        <w:rPr>
          <w:spacing w:val="27"/>
        </w:rPr>
        <w:t xml:space="preserve"> </w:t>
      </w:r>
      <w:r>
        <w:t>regulations.</w:t>
      </w:r>
      <w:r>
        <w:rPr>
          <w:spacing w:val="80"/>
        </w:rPr>
        <w:t xml:space="preserve"> </w:t>
      </w:r>
      <w:r>
        <w:t>Below</w:t>
      </w:r>
      <w:r>
        <w:rPr>
          <w:spacing w:val="28"/>
        </w:rPr>
        <w:t xml:space="preserve"> </w:t>
      </w:r>
      <w:r>
        <w:t>is</w:t>
      </w:r>
      <w:r>
        <w:rPr>
          <w:spacing w:val="27"/>
        </w:rPr>
        <w:t xml:space="preserve"> </w:t>
      </w:r>
      <w:r>
        <w:t>a</w:t>
      </w:r>
      <w:r>
        <w:rPr>
          <w:spacing w:val="29"/>
        </w:rPr>
        <w:t xml:space="preserve"> </w:t>
      </w:r>
      <w:r>
        <w:t>partial</w:t>
      </w:r>
      <w:r>
        <w:rPr>
          <w:spacing w:val="26"/>
        </w:rPr>
        <w:t xml:space="preserve"> </w:t>
      </w:r>
      <w:r>
        <w:t>list</w:t>
      </w:r>
      <w:r>
        <w:rPr>
          <w:spacing w:val="25"/>
        </w:rPr>
        <w:t xml:space="preserve"> </w:t>
      </w:r>
      <w:r>
        <w:t>of</w:t>
      </w:r>
      <w:r>
        <w:rPr>
          <w:spacing w:val="29"/>
        </w:rPr>
        <w:t xml:space="preserve"> </w:t>
      </w:r>
      <w:r>
        <w:t>compliance</w:t>
      </w:r>
      <w:r>
        <w:rPr>
          <w:spacing w:val="25"/>
        </w:rPr>
        <w:t xml:space="preserve"> </w:t>
      </w:r>
      <w:r>
        <w:t>requirements</w:t>
      </w:r>
      <w:r>
        <w:rPr>
          <w:spacing w:val="27"/>
        </w:rPr>
        <w:t xml:space="preserve"> </w:t>
      </w:r>
      <w:r>
        <w:t>for</w:t>
      </w:r>
      <w:r>
        <w:rPr>
          <w:spacing w:val="29"/>
        </w:rPr>
        <w:t xml:space="preserve"> </w:t>
      </w:r>
      <w:r>
        <w:t>your review.</w:t>
      </w:r>
      <w:r>
        <w:rPr>
          <w:spacing w:val="40"/>
        </w:rPr>
        <w:t xml:space="preserve"> </w:t>
      </w:r>
      <w:r>
        <w:t>Program</w:t>
      </w:r>
      <w:r>
        <w:rPr>
          <w:spacing w:val="-4"/>
        </w:rPr>
        <w:t xml:space="preserve"> </w:t>
      </w:r>
      <w:r>
        <w:t>information,</w:t>
      </w:r>
      <w:r>
        <w:rPr>
          <w:spacing w:val="-3"/>
        </w:rPr>
        <w:t xml:space="preserve"> </w:t>
      </w:r>
      <w:r>
        <w:t>including</w:t>
      </w:r>
      <w:r>
        <w:rPr>
          <w:spacing w:val="-3"/>
        </w:rPr>
        <w:t xml:space="preserve"> </w:t>
      </w:r>
      <w:r>
        <w:t>Capital</w:t>
      </w:r>
      <w:r>
        <w:rPr>
          <w:spacing w:val="-4"/>
        </w:rPr>
        <w:t xml:space="preserve"> </w:t>
      </w:r>
      <w:r>
        <w:t>Program</w:t>
      </w:r>
      <w:r>
        <w:rPr>
          <w:spacing w:val="-9"/>
        </w:rPr>
        <w:t xml:space="preserve"> </w:t>
      </w:r>
      <w:r>
        <w:t>Policy</w:t>
      </w:r>
      <w:r>
        <w:rPr>
          <w:spacing w:val="-3"/>
        </w:rPr>
        <w:t xml:space="preserve"> </w:t>
      </w:r>
      <w:r>
        <w:t>Guidelines,</w:t>
      </w:r>
      <w:r>
        <w:rPr>
          <w:spacing w:val="-3"/>
        </w:rPr>
        <w:t xml:space="preserve"> </w:t>
      </w:r>
      <w:r>
        <w:t>Frequently</w:t>
      </w:r>
      <w:r>
        <w:rPr>
          <w:spacing w:val="-3"/>
        </w:rPr>
        <w:t xml:space="preserve"> </w:t>
      </w:r>
      <w:r>
        <w:t>Asked</w:t>
      </w:r>
      <w:r>
        <w:rPr>
          <w:spacing w:val="-3"/>
        </w:rPr>
        <w:t xml:space="preserve"> </w:t>
      </w:r>
      <w:r>
        <w:t>Questions, and</w:t>
      </w:r>
      <w:r>
        <w:rPr>
          <w:spacing w:val="80"/>
        </w:rPr>
        <w:t xml:space="preserve"> </w:t>
      </w:r>
      <w:r>
        <w:t>Capital</w:t>
      </w:r>
      <w:r>
        <w:rPr>
          <w:spacing w:val="80"/>
        </w:rPr>
        <w:t xml:space="preserve"> </w:t>
      </w:r>
      <w:r>
        <w:t>Program</w:t>
      </w:r>
      <w:r>
        <w:rPr>
          <w:spacing w:val="80"/>
        </w:rPr>
        <w:t xml:space="preserve"> </w:t>
      </w:r>
      <w:r>
        <w:t>Reporting</w:t>
      </w:r>
      <w:r>
        <w:rPr>
          <w:spacing w:val="79"/>
          <w:w w:val="150"/>
        </w:rPr>
        <w:t xml:space="preserve"> </w:t>
      </w:r>
      <w:r>
        <w:t>Guidance,</w:t>
      </w:r>
      <w:r>
        <w:rPr>
          <w:spacing w:val="80"/>
        </w:rPr>
        <w:t xml:space="preserve"> </w:t>
      </w:r>
      <w:r>
        <w:t>is</w:t>
      </w:r>
      <w:r>
        <w:rPr>
          <w:spacing w:val="80"/>
        </w:rPr>
        <w:t xml:space="preserve"> </w:t>
      </w:r>
      <w:r>
        <w:t>available</w:t>
      </w:r>
      <w:r>
        <w:rPr>
          <w:spacing w:val="80"/>
        </w:rPr>
        <w:t xml:space="preserve"> </w:t>
      </w:r>
      <w:r>
        <w:t>on</w:t>
      </w:r>
      <w:r>
        <w:rPr>
          <w:spacing w:val="80"/>
        </w:rPr>
        <w:t xml:space="preserve"> </w:t>
      </w:r>
      <w:r>
        <w:t>U.S.</w:t>
      </w:r>
      <w:r>
        <w:rPr>
          <w:spacing w:val="80"/>
        </w:rPr>
        <w:t xml:space="preserve"> </w:t>
      </w:r>
      <w:r>
        <w:t>Treasury’s</w:t>
      </w:r>
      <w:r>
        <w:rPr>
          <w:spacing w:val="80"/>
        </w:rPr>
        <w:t xml:space="preserve"> </w:t>
      </w:r>
      <w:r>
        <w:t>SSBCI</w:t>
      </w:r>
      <w:r>
        <w:rPr>
          <w:spacing w:val="80"/>
        </w:rPr>
        <w:t xml:space="preserve"> </w:t>
      </w:r>
      <w:r>
        <w:t>website</w:t>
      </w:r>
      <w:r>
        <w:rPr>
          <w:spacing w:val="80"/>
        </w:rPr>
        <w:t xml:space="preserve"> </w:t>
      </w:r>
      <w:r>
        <w:t>at</w:t>
      </w:r>
      <w:r>
        <w:rPr>
          <w:spacing w:val="80"/>
        </w:rPr>
        <w:t xml:space="preserve"> </w:t>
      </w:r>
      <w:hyperlink r:id="rId5">
        <w:r>
          <w:rPr>
            <w:color w:val="0462C1"/>
            <w:spacing w:val="-2"/>
            <w:u w:val="single" w:color="0462C1"/>
          </w:rPr>
          <w:t>https://home.treasury.gov/policy-issues/small-business-programs/state-small-business-credit-initiative-</w:t>
        </w:r>
      </w:hyperlink>
      <w:r>
        <w:rPr>
          <w:color w:val="0462C1"/>
          <w:spacing w:val="-2"/>
        </w:rPr>
        <w:t xml:space="preserve"> </w:t>
      </w:r>
      <w:hyperlink r:id="rId6">
        <w:proofErr w:type="spellStart"/>
        <w:r>
          <w:rPr>
            <w:color w:val="0462C1"/>
            <w:spacing w:val="-2"/>
            <w:u w:val="single" w:color="0462C1"/>
          </w:rPr>
          <w:t>ssbci</w:t>
        </w:r>
        <w:proofErr w:type="spellEnd"/>
        <w:r>
          <w:rPr>
            <w:color w:val="0462C1"/>
            <w:spacing w:val="-2"/>
            <w:u w:val="single" w:color="0462C1"/>
          </w:rPr>
          <w:t>/ssbci-2021</w:t>
        </w:r>
        <w:r>
          <w:rPr>
            <w:spacing w:val="-2"/>
          </w:rPr>
          <w:t>.</w:t>
        </w:r>
      </w:hyperlink>
    </w:p>
    <w:p w14:paraId="5B543530" w14:textId="77777777" w:rsidR="00E820FD" w:rsidRDefault="00E820FD" w:rsidP="00E820FD">
      <w:pPr>
        <w:pStyle w:val="BodyText"/>
        <w:spacing w:before="162" w:line="249" w:lineRule="auto"/>
        <w:ind w:left="100" w:right="107"/>
        <w:jc w:val="both"/>
      </w:pPr>
      <w:r>
        <w:t>U.S. Treasury may make additional changes or clarifications to these requirements. In addition, the fund manager’s obligations and responsibilities shall be consistent with and comply with the terms of the Allocation Agreement signed between</w:t>
      </w:r>
      <w:r>
        <w:rPr>
          <w:spacing w:val="-2"/>
        </w:rPr>
        <w:t xml:space="preserve"> </w:t>
      </w:r>
      <w:r>
        <w:t>U.S.</w:t>
      </w:r>
      <w:r>
        <w:rPr>
          <w:spacing w:val="-3"/>
        </w:rPr>
        <w:t xml:space="preserve"> </w:t>
      </w:r>
      <w:r>
        <w:t>Treasury</w:t>
      </w:r>
      <w:r>
        <w:rPr>
          <w:spacing w:val="-2"/>
        </w:rPr>
        <w:t xml:space="preserve"> </w:t>
      </w:r>
      <w:r>
        <w:t>and</w:t>
      </w:r>
      <w:r>
        <w:rPr>
          <w:spacing w:val="-2"/>
        </w:rPr>
        <w:t xml:space="preserve"> </w:t>
      </w:r>
      <w:r>
        <w:t>the New</w:t>
      </w:r>
      <w:r>
        <w:rPr>
          <w:spacing w:val="-1"/>
        </w:rPr>
        <w:t xml:space="preserve"> </w:t>
      </w:r>
      <w:r>
        <w:t>Jersey Department of the Treasury that will govern the use of the SSBCI funds that NJEDA will invest in the Fund. A sample Capital Allocation Agreement is available on the U.S. Treasury SSBCI website.</w:t>
      </w:r>
    </w:p>
    <w:p w14:paraId="4889599D" w14:textId="77777777" w:rsidR="00E820FD" w:rsidRDefault="00E820FD" w:rsidP="00E820FD">
      <w:pPr>
        <w:pStyle w:val="BodyText"/>
        <w:spacing w:before="160" w:line="249" w:lineRule="auto"/>
        <w:ind w:left="100" w:right="109"/>
        <w:jc w:val="both"/>
      </w:pPr>
      <w:r>
        <w:t>Any firm submitting a response acknowledges that the compliance requirements and regulations listed below may not be a complete or final list of the selected fund manager’s responsibilities. The selected fund manager(s) shall be responsible for complying with additional and final SSBCI rules and requirements applicable to the Fund, when and as issued by the U.S. Treasury. While this list is a guideline, it is not intended</w:t>
      </w:r>
      <w:r>
        <w:rPr>
          <w:spacing w:val="-16"/>
        </w:rPr>
        <w:t xml:space="preserve"> </w:t>
      </w:r>
      <w:r>
        <w:t>to</w:t>
      </w:r>
      <w:r>
        <w:rPr>
          <w:spacing w:val="-14"/>
        </w:rPr>
        <w:t xml:space="preserve"> </w:t>
      </w:r>
      <w:r>
        <w:t>be</w:t>
      </w:r>
      <w:r>
        <w:rPr>
          <w:spacing w:val="-14"/>
        </w:rPr>
        <w:t xml:space="preserve"> </w:t>
      </w:r>
      <w:r>
        <w:t>inclusive.</w:t>
      </w:r>
      <w:r>
        <w:rPr>
          <w:spacing w:val="-13"/>
        </w:rPr>
        <w:t xml:space="preserve"> </w:t>
      </w:r>
      <w:r>
        <w:t>It</w:t>
      </w:r>
      <w:r>
        <w:rPr>
          <w:spacing w:val="-14"/>
        </w:rPr>
        <w:t xml:space="preserve"> </w:t>
      </w:r>
      <w:r>
        <w:t>is</w:t>
      </w:r>
      <w:r>
        <w:rPr>
          <w:spacing w:val="-14"/>
        </w:rPr>
        <w:t xml:space="preserve"> </w:t>
      </w:r>
      <w:r>
        <w:t>the</w:t>
      </w:r>
      <w:r>
        <w:rPr>
          <w:spacing w:val="-14"/>
        </w:rPr>
        <w:t xml:space="preserve"> </w:t>
      </w:r>
      <w:r>
        <w:t>responsibility</w:t>
      </w:r>
      <w:r>
        <w:rPr>
          <w:spacing w:val="-13"/>
        </w:rPr>
        <w:t xml:space="preserve"> </w:t>
      </w:r>
      <w:r>
        <w:t>of</w:t>
      </w:r>
      <w:r>
        <w:rPr>
          <w:spacing w:val="-14"/>
        </w:rPr>
        <w:t xml:space="preserve"> </w:t>
      </w:r>
      <w:r>
        <w:t>the</w:t>
      </w:r>
      <w:r>
        <w:rPr>
          <w:spacing w:val="-14"/>
        </w:rPr>
        <w:t xml:space="preserve"> selected </w:t>
      </w:r>
      <w:r>
        <w:t>fund</w:t>
      </w:r>
      <w:r>
        <w:rPr>
          <w:spacing w:val="-14"/>
        </w:rPr>
        <w:t xml:space="preserve"> </w:t>
      </w:r>
      <w:r>
        <w:t>manager(s)s</w:t>
      </w:r>
      <w:r>
        <w:rPr>
          <w:spacing w:val="-13"/>
        </w:rPr>
        <w:t xml:space="preserve"> </w:t>
      </w:r>
      <w:r>
        <w:t>to</w:t>
      </w:r>
      <w:r>
        <w:rPr>
          <w:spacing w:val="-14"/>
        </w:rPr>
        <w:t xml:space="preserve"> </w:t>
      </w:r>
      <w:r>
        <w:t>follow</w:t>
      </w:r>
      <w:r>
        <w:rPr>
          <w:spacing w:val="-14"/>
        </w:rPr>
        <w:t xml:space="preserve"> </w:t>
      </w:r>
      <w:r>
        <w:t>SSBCI’s</w:t>
      </w:r>
      <w:r>
        <w:rPr>
          <w:spacing w:val="-14"/>
        </w:rPr>
        <w:t xml:space="preserve"> </w:t>
      </w:r>
      <w:r>
        <w:t>rules,</w:t>
      </w:r>
      <w:r>
        <w:rPr>
          <w:spacing w:val="-13"/>
        </w:rPr>
        <w:t xml:space="preserve"> </w:t>
      </w:r>
      <w:r>
        <w:t>regulations, policies, and other guidance documents.</w:t>
      </w:r>
    </w:p>
    <w:p w14:paraId="583FBA72" w14:textId="77777777" w:rsidR="00E820FD" w:rsidRDefault="00E820FD" w:rsidP="00E820FD">
      <w:pPr>
        <w:pStyle w:val="BodyText"/>
        <w:spacing w:before="157"/>
        <w:ind w:left="100"/>
        <w:jc w:val="both"/>
      </w:pPr>
      <w:r>
        <w:t>Investment</w:t>
      </w:r>
      <w:r>
        <w:rPr>
          <w:spacing w:val="-5"/>
        </w:rPr>
        <w:t xml:space="preserve"> </w:t>
      </w:r>
      <w:r>
        <w:rPr>
          <w:spacing w:val="-2"/>
        </w:rPr>
        <w:t>Criteria:</w:t>
      </w:r>
    </w:p>
    <w:p w14:paraId="1FE07C29" w14:textId="77777777" w:rsidR="00E820FD" w:rsidRDefault="00E820FD" w:rsidP="00E820FD">
      <w:pPr>
        <w:pStyle w:val="ListParagraph"/>
        <w:numPr>
          <w:ilvl w:val="0"/>
          <w:numId w:val="1"/>
        </w:numPr>
        <w:tabs>
          <w:tab w:val="left" w:pos="821"/>
        </w:tabs>
        <w:spacing w:before="177" w:line="247" w:lineRule="auto"/>
        <w:ind w:right="314"/>
      </w:pPr>
      <w:r>
        <w:t>Investments</w:t>
      </w:r>
      <w:r>
        <w:rPr>
          <w:spacing w:val="-3"/>
        </w:rPr>
        <w:t xml:space="preserve"> </w:t>
      </w:r>
      <w:r>
        <w:t>may</w:t>
      </w:r>
      <w:r>
        <w:rPr>
          <w:spacing w:val="-3"/>
        </w:rPr>
        <w:t xml:space="preserve"> </w:t>
      </w:r>
      <w:r>
        <w:t>only</w:t>
      </w:r>
      <w:r>
        <w:rPr>
          <w:spacing w:val="-3"/>
        </w:rPr>
        <w:t xml:space="preserve"> </w:t>
      </w:r>
      <w:r>
        <w:t>be</w:t>
      </w:r>
      <w:r>
        <w:rPr>
          <w:spacing w:val="-1"/>
        </w:rPr>
        <w:t xml:space="preserve"> </w:t>
      </w:r>
      <w:r>
        <w:t>made</w:t>
      </w:r>
      <w:r>
        <w:rPr>
          <w:spacing w:val="-1"/>
        </w:rPr>
        <w:t xml:space="preserve"> </w:t>
      </w:r>
      <w:r>
        <w:t>in</w:t>
      </w:r>
      <w:r>
        <w:rPr>
          <w:spacing w:val="-2"/>
        </w:rPr>
        <w:t xml:space="preserve"> </w:t>
      </w:r>
      <w:r>
        <w:t>financing</w:t>
      </w:r>
      <w:r>
        <w:rPr>
          <w:spacing w:val="-7"/>
        </w:rPr>
        <w:t xml:space="preserve"> </w:t>
      </w:r>
      <w:r>
        <w:t>rounds</w:t>
      </w:r>
      <w:r>
        <w:rPr>
          <w:spacing w:val="-3"/>
        </w:rPr>
        <w:t xml:space="preserve"> </w:t>
      </w:r>
      <w:r>
        <w:t>with</w:t>
      </w:r>
      <w:r>
        <w:rPr>
          <w:spacing w:val="-3"/>
        </w:rPr>
        <w:t xml:space="preserve"> </w:t>
      </w:r>
      <w:r>
        <w:t>total</w:t>
      </w:r>
      <w:r>
        <w:rPr>
          <w:spacing w:val="-5"/>
        </w:rPr>
        <w:t xml:space="preserve"> </w:t>
      </w:r>
      <w:r>
        <w:t>round</w:t>
      </w:r>
      <w:r>
        <w:rPr>
          <w:spacing w:val="-3"/>
        </w:rPr>
        <w:t xml:space="preserve"> </w:t>
      </w:r>
      <w:r>
        <w:t>size</w:t>
      </w:r>
      <w:r>
        <w:rPr>
          <w:spacing w:val="-1"/>
        </w:rPr>
        <w:t xml:space="preserve"> </w:t>
      </w:r>
      <w:r>
        <w:t>under</w:t>
      </w:r>
      <w:r>
        <w:rPr>
          <w:spacing w:val="-2"/>
        </w:rPr>
        <w:t xml:space="preserve"> </w:t>
      </w:r>
      <w:r>
        <w:t>$20</w:t>
      </w:r>
      <w:r>
        <w:rPr>
          <w:spacing w:val="-3"/>
        </w:rPr>
        <w:t xml:space="preserve"> </w:t>
      </w:r>
      <w:r>
        <w:t>million.</w:t>
      </w:r>
      <w:r>
        <w:rPr>
          <w:spacing w:val="-3"/>
        </w:rPr>
        <w:t xml:space="preserve"> </w:t>
      </w:r>
      <w:r>
        <w:t>The fund manager(s) must target an average round size of $5 million or less.</w:t>
      </w:r>
    </w:p>
    <w:p w14:paraId="0207F515" w14:textId="77777777" w:rsidR="00E820FD" w:rsidRDefault="00E820FD" w:rsidP="00E820FD">
      <w:pPr>
        <w:pStyle w:val="ListParagraph"/>
        <w:numPr>
          <w:ilvl w:val="0"/>
          <w:numId w:val="1"/>
        </w:numPr>
        <w:tabs>
          <w:tab w:val="left" w:pos="821"/>
        </w:tabs>
        <w:spacing w:before="4" w:line="247" w:lineRule="auto"/>
        <w:ind w:right="113"/>
      </w:pPr>
      <w:r>
        <w:t xml:space="preserve">The investee company for SSBCI funds must have 750 or less employees as calculated using the methodology under 13 C.F.R. § </w:t>
      </w:r>
      <w:proofErr w:type="gramStart"/>
      <w:r>
        <w:t>121.106</w:t>
      </w:r>
      <w:proofErr w:type="gramEnd"/>
    </w:p>
    <w:p w14:paraId="0651E559" w14:textId="77777777" w:rsidR="00E820FD" w:rsidRDefault="00E820FD" w:rsidP="00E820FD">
      <w:pPr>
        <w:pStyle w:val="ListParagraph"/>
        <w:numPr>
          <w:ilvl w:val="0"/>
          <w:numId w:val="1"/>
        </w:numPr>
        <w:tabs>
          <w:tab w:val="left" w:pos="821"/>
        </w:tabs>
        <w:spacing w:before="9" w:line="247" w:lineRule="auto"/>
        <w:ind w:right="110"/>
      </w:pPr>
      <w:r>
        <w:t xml:space="preserve">The Fund manager(s) must target an average investee size of 500 employees or less as calculated using the methodology under 13 C.F.R. § </w:t>
      </w:r>
      <w:proofErr w:type="gramStart"/>
      <w:r>
        <w:t>121.106</w:t>
      </w:r>
      <w:proofErr w:type="gramEnd"/>
    </w:p>
    <w:p w14:paraId="0ED83C16" w14:textId="77777777" w:rsidR="00E820FD" w:rsidRDefault="00E820FD" w:rsidP="00E820FD">
      <w:pPr>
        <w:pStyle w:val="ListParagraph"/>
        <w:numPr>
          <w:ilvl w:val="0"/>
          <w:numId w:val="1"/>
        </w:numPr>
        <w:tabs>
          <w:tab w:val="left" w:pos="820"/>
        </w:tabs>
        <w:spacing w:before="4"/>
        <w:ind w:left="820"/>
      </w:pPr>
      <w:r>
        <w:t>Ninety</w:t>
      </w:r>
      <w:r>
        <w:rPr>
          <w:spacing w:val="-4"/>
        </w:rPr>
        <w:t xml:space="preserve"> </w:t>
      </w:r>
      <w:r>
        <w:t>percent</w:t>
      </w:r>
      <w:r>
        <w:rPr>
          <w:spacing w:val="-4"/>
        </w:rPr>
        <w:t xml:space="preserve"> </w:t>
      </w:r>
      <w:r>
        <w:t>of investee companies</w:t>
      </w:r>
      <w:r>
        <w:rPr>
          <w:spacing w:val="-1"/>
        </w:rPr>
        <w:t xml:space="preserve"> </w:t>
      </w:r>
      <w:r>
        <w:t>must</w:t>
      </w:r>
      <w:r>
        <w:rPr>
          <w:spacing w:val="-1"/>
        </w:rPr>
        <w:t xml:space="preserve"> </w:t>
      </w:r>
      <w:r>
        <w:t>have</w:t>
      </w:r>
      <w:r>
        <w:rPr>
          <w:spacing w:val="-4"/>
        </w:rPr>
        <w:t xml:space="preserve"> </w:t>
      </w:r>
      <w:r>
        <w:t>a location</w:t>
      </w:r>
      <w:r>
        <w:rPr>
          <w:spacing w:val="-1"/>
        </w:rPr>
        <w:t xml:space="preserve"> </w:t>
      </w:r>
      <w:r>
        <w:t>in</w:t>
      </w:r>
      <w:r>
        <w:rPr>
          <w:spacing w:val="-1"/>
        </w:rPr>
        <w:t xml:space="preserve"> </w:t>
      </w:r>
      <w:r>
        <w:t>New</w:t>
      </w:r>
      <w:r>
        <w:rPr>
          <w:spacing w:val="-1"/>
        </w:rPr>
        <w:t xml:space="preserve"> </w:t>
      </w:r>
      <w:r>
        <w:rPr>
          <w:spacing w:val="-2"/>
        </w:rPr>
        <w:t>Jersey.</w:t>
      </w:r>
    </w:p>
    <w:p w14:paraId="1885DDAB" w14:textId="77777777" w:rsidR="00E820FD" w:rsidRDefault="00E820FD" w:rsidP="00E820FD">
      <w:pPr>
        <w:pStyle w:val="ListParagraph"/>
        <w:numPr>
          <w:ilvl w:val="0"/>
          <w:numId w:val="1"/>
        </w:numPr>
        <w:tabs>
          <w:tab w:val="left" w:pos="820"/>
        </w:tabs>
        <w:spacing w:before="12" w:line="398" w:lineRule="auto"/>
        <w:ind w:left="100" w:right="2026" w:firstLine="360"/>
      </w:pPr>
      <w:r>
        <w:t>Investee</w:t>
      </w:r>
      <w:r>
        <w:rPr>
          <w:spacing w:val="-1"/>
        </w:rPr>
        <w:t xml:space="preserve"> </w:t>
      </w:r>
      <w:r>
        <w:t>companies</w:t>
      </w:r>
      <w:r>
        <w:rPr>
          <w:spacing w:val="-3"/>
        </w:rPr>
        <w:t xml:space="preserve"> </w:t>
      </w:r>
      <w:r>
        <w:t>must</w:t>
      </w:r>
      <w:r>
        <w:rPr>
          <w:spacing w:val="-3"/>
        </w:rPr>
        <w:t xml:space="preserve"> </w:t>
      </w:r>
      <w:r>
        <w:t>qualify</w:t>
      </w:r>
      <w:r>
        <w:rPr>
          <w:spacing w:val="-8"/>
        </w:rPr>
        <w:t xml:space="preserve"> </w:t>
      </w:r>
      <w:r>
        <w:t>as</w:t>
      </w:r>
      <w:r>
        <w:rPr>
          <w:spacing w:val="-4"/>
        </w:rPr>
        <w:t xml:space="preserve"> </w:t>
      </w:r>
      <w:r>
        <w:t>SEDI</w:t>
      </w:r>
      <w:r>
        <w:rPr>
          <w:spacing w:val="1"/>
        </w:rPr>
        <w:t xml:space="preserve"> </w:t>
      </w:r>
      <w:proofErr w:type="gramStart"/>
      <w:r>
        <w:rPr>
          <w:spacing w:val="1"/>
        </w:rPr>
        <w:t>business</w:t>
      </w:r>
      <w:proofErr w:type="gramEnd"/>
      <w:r>
        <w:rPr>
          <w:spacing w:val="1"/>
        </w:rPr>
        <w:t xml:space="preserve"> </w:t>
      </w:r>
    </w:p>
    <w:p w14:paraId="6295B0DD" w14:textId="77777777" w:rsidR="00E820FD" w:rsidRDefault="00E820FD" w:rsidP="00E820FD">
      <w:pPr>
        <w:tabs>
          <w:tab w:val="left" w:pos="820"/>
        </w:tabs>
        <w:spacing w:before="12" w:line="398" w:lineRule="auto"/>
        <w:ind w:left="100" w:right="2026"/>
      </w:pPr>
      <w:r>
        <w:t>Prohibited Use of Funds:</w:t>
      </w:r>
    </w:p>
    <w:p w14:paraId="23AEF846" w14:textId="77777777" w:rsidR="00E820FD" w:rsidRDefault="00E820FD" w:rsidP="00E820FD">
      <w:pPr>
        <w:pStyle w:val="ListParagraph"/>
        <w:numPr>
          <w:ilvl w:val="0"/>
          <w:numId w:val="1"/>
        </w:numPr>
        <w:tabs>
          <w:tab w:val="left" w:pos="821"/>
        </w:tabs>
        <w:spacing w:before="11" w:line="247" w:lineRule="auto"/>
        <w:ind w:right="113"/>
        <w:jc w:val="both"/>
      </w:pPr>
      <w:r>
        <w:t xml:space="preserve">Prohibited activities for the investment entity include speculative activity (futures trading, </w:t>
      </w:r>
      <w:proofErr w:type="spellStart"/>
      <w:r>
        <w:t>etc</w:t>
      </w:r>
      <w:proofErr w:type="spellEnd"/>
      <w:r>
        <w:t>), earning more than 50% of net revenues from lending (unless investee is a CDFI that is not a depository</w:t>
      </w:r>
      <w:r>
        <w:rPr>
          <w:spacing w:val="-3"/>
        </w:rPr>
        <w:t xml:space="preserve"> </w:t>
      </w:r>
      <w:r>
        <w:t>institution or</w:t>
      </w:r>
      <w:r>
        <w:rPr>
          <w:spacing w:val="-2"/>
        </w:rPr>
        <w:t xml:space="preserve"> </w:t>
      </w:r>
      <w:r>
        <w:t>a</w:t>
      </w:r>
      <w:r>
        <w:rPr>
          <w:spacing w:val="-1"/>
        </w:rPr>
        <w:t xml:space="preserve"> </w:t>
      </w:r>
      <w:r>
        <w:t>bank</w:t>
      </w:r>
      <w:r>
        <w:rPr>
          <w:spacing w:val="-3"/>
        </w:rPr>
        <w:t xml:space="preserve"> </w:t>
      </w:r>
      <w:r>
        <w:t>holding</w:t>
      </w:r>
      <w:r>
        <w:rPr>
          <w:spacing w:val="-3"/>
        </w:rPr>
        <w:t xml:space="preserve"> </w:t>
      </w:r>
      <w:r>
        <w:t>company),</w:t>
      </w:r>
      <w:r>
        <w:rPr>
          <w:spacing w:val="-3"/>
        </w:rPr>
        <w:t xml:space="preserve"> </w:t>
      </w:r>
      <w:r>
        <w:t>engaging</w:t>
      </w:r>
      <w:r>
        <w:rPr>
          <w:spacing w:val="-3"/>
        </w:rPr>
        <w:t xml:space="preserve"> </w:t>
      </w:r>
      <w:r>
        <w:t>in</w:t>
      </w:r>
      <w:r>
        <w:rPr>
          <w:spacing w:val="-3"/>
        </w:rPr>
        <w:t xml:space="preserve"> </w:t>
      </w:r>
      <w:r>
        <w:t>pyramid</w:t>
      </w:r>
      <w:r>
        <w:rPr>
          <w:spacing w:val="-3"/>
        </w:rPr>
        <w:t xml:space="preserve"> </w:t>
      </w:r>
      <w:r>
        <w:t>sales,</w:t>
      </w:r>
      <w:r>
        <w:rPr>
          <w:spacing w:val="-3"/>
        </w:rPr>
        <w:t xml:space="preserve"> </w:t>
      </w:r>
      <w:r>
        <w:t>illegal</w:t>
      </w:r>
      <w:r>
        <w:rPr>
          <w:spacing w:val="-4"/>
        </w:rPr>
        <w:t xml:space="preserve"> </w:t>
      </w:r>
      <w:r>
        <w:t>activities,</w:t>
      </w:r>
      <w:r>
        <w:rPr>
          <w:spacing w:val="-3"/>
        </w:rPr>
        <w:t xml:space="preserve"> </w:t>
      </w:r>
      <w:r>
        <w:t>or gambling (33% or more of annual revenue).</w:t>
      </w:r>
    </w:p>
    <w:p w14:paraId="0A775978" w14:textId="77777777" w:rsidR="00E820FD" w:rsidRDefault="00E820FD" w:rsidP="00E820FD">
      <w:pPr>
        <w:pStyle w:val="ListParagraph"/>
        <w:numPr>
          <w:ilvl w:val="0"/>
          <w:numId w:val="1"/>
        </w:numPr>
        <w:tabs>
          <w:tab w:val="left" w:pos="821"/>
        </w:tabs>
        <w:spacing w:before="8" w:line="247" w:lineRule="auto"/>
        <w:ind w:right="120"/>
        <w:jc w:val="both"/>
      </w:pPr>
      <w:r>
        <w:t>Funds cannot be used to repay delinquent federal or state income taxes or to repay taxes held in trust or escrow.</w:t>
      </w:r>
    </w:p>
    <w:p w14:paraId="1FB00160" w14:textId="77777777" w:rsidR="00E820FD" w:rsidRDefault="00E820FD" w:rsidP="00E820FD">
      <w:pPr>
        <w:pStyle w:val="ListParagraph"/>
        <w:numPr>
          <w:ilvl w:val="0"/>
          <w:numId w:val="1"/>
        </w:numPr>
        <w:tabs>
          <w:tab w:val="left" w:pos="819"/>
        </w:tabs>
        <w:spacing w:before="9"/>
        <w:ind w:left="819" w:hanging="359"/>
        <w:jc w:val="both"/>
      </w:pPr>
      <w:r>
        <w:t>The</w:t>
      </w:r>
      <w:r>
        <w:rPr>
          <w:spacing w:val="-1"/>
        </w:rPr>
        <w:t xml:space="preserve"> </w:t>
      </w:r>
      <w:r>
        <w:t>funds</w:t>
      </w:r>
      <w:r>
        <w:rPr>
          <w:spacing w:val="-1"/>
        </w:rPr>
        <w:t xml:space="preserve"> </w:t>
      </w:r>
      <w:r>
        <w:t>may</w:t>
      </w:r>
      <w:r>
        <w:rPr>
          <w:spacing w:val="-1"/>
        </w:rPr>
        <w:t xml:space="preserve"> </w:t>
      </w:r>
      <w:r>
        <w:t>not</w:t>
      </w:r>
      <w:r>
        <w:rPr>
          <w:spacing w:val="-2"/>
        </w:rPr>
        <w:t xml:space="preserve"> </w:t>
      </w:r>
      <w:r>
        <w:t>be</w:t>
      </w:r>
      <w:r>
        <w:rPr>
          <w:spacing w:val="1"/>
        </w:rPr>
        <w:t xml:space="preserve"> </w:t>
      </w:r>
      <w:r>
        <w:t>used</w:t>
      </w:r>
      <w:r>
        <w:rPr>
          <w:spacing w:val="-1"/>
        </w:rPr>
        <w:t xml:space="preserve"> </w:t>
      </w:r>
      <w:r>
        <w:t>to reimburse</w:t>
      </w:r>
      <w:r>
        <w:rPr>
          <w:spacing w:val="-5"/>
        </w:rPr>
        <w:t xml:space="preserve"> </w:t>
      </w:r>
      <w:r>
        <w:t>funds</w:t>
      </w:r>
      <w:r>
        <w:rPr>
          <w:spacing w:val="-1"/>
        </w:rPr>
        <w:t xml:space="preserve"> </w:t>
      </w:r>
      <w:r>
        <w:t>owed to</w:t>
      </w:r>
      <w:r>
        <w:rPr>
          <w:spacing w:val="-7"/>
        </w:rPr>
        <w:t xml:space="preserve"> </w:t>
      </w:r>
      <w:r>
        <w:t xml:space="preserve">any </w:t>
      </w:r>
      <w:r>
        <w:rPr>
          <w:spacing w:val="-2"/>
        </w:rPr>
        <w:t>owner.</w:t>
      </w:r>
    </w:p>
    <w:p w14:paraId="3E317CDE" w14:textId="77777777" w:rsidR="00E820FD" w:rsidRDefault="00E820FD" w:rsidP="00E820FD">
      <w:pPr>
        <w:pStyle w:val="ListParagraph"/>
        <w:numPr>
          <w:ilvl w:val="0"/>
          <w:numId w:val="1"/>
        </w:numPr>
        <w:tabs>
          <w:tab w:val="left" w:pos="819"/>
        </w:tabs>
        <w:spacing w:before="12"/>
        <w:ind w:left="819" w:hanging="359"/>
        <w:jc w:val="both"/>
      </w:pPr>
      <w:r>
        <w:t>The</w:t>
      </w:r>
      <w:r>
        <w:rPr>
          <w:spacing w:val="-2"/>
        </w:rPr>
        <w:t xml:space="preserve"> </w:t>
      </w:r>
      <w:r>
        <w:t>funds</w:t>
      </w:r>
      <w:r>
        <w:rPr>
          <w:spacing w:val="-2"/>
        </w:rPr>
        <w:t xml:space="preserve"> </w:t>
      </w:r>
      <w:r>
        <w:t>are</w:t>
      </w:r>
      <w:r>
        <w:rPr>
          <w:spacing w:val="1"/>
        </w:rPr>
        <w:t xml:space="preserve"> </w:t>
      </w:r>
      <w:r>
        <w:t>not</w:t>
      </w:r>
      <w:r>
        <w:rPr>
          <w:spacing w:val="-4"/>
        </w:rPr>
        <w:t xml:space="preserve"> </w:t>
      </w:r>
      <w:r>
        <w:t>to</w:t>
      </w:r>
      <w:r>
        <w:rPr>
          <w:spacing w:val="-1"/>
        </w:rPr>
        <w:t xml:space="preserve"> </w:t>
      </w:r>
      <w:r>
        <w:t>be used</w:t>
      </w:r>
      <w:r>
        <w:rPr>
          <w:spacing w:val="-2"/>
        </w:rPr>
        <w:t xml:space="preserve"> </w:t>
      </w:r>
      <w:r>
        <w:t>to</w:t>
      </w:r>
      <w:r>
        <w:rPr>
          <w:spacing w:val="-1"/>
        </w:rPr>
        <w:t xml:space="preserve"> </w:t>
      </w:r>
      <w:r>
        <w:t>purchase</w:t>
      </w:r>
      <w:r>
        <w:rPr>
          <w:spacing w:val="-1"/>
        </w:rPr>
        <w:t xml:space="preserve"> </w:t>
      </w:r>
      <w:r>
        <w:t>a</w:t>
      </w:r>
      <w:r>
        <w:rPr>
          <w:spacing w:val="1"/>
        </w:rPr>
        <w:t xml:space="preserve"> </w:t>
      </w:r>
      <w:r>
        <w:t>portion</w:t>
      </w:r>
      <w:r>
        <w:rPr>
          <w:spacing w:val="-2"/>
        </w:rPr>
        <w:t xml:space="preserve"> </w:t>
      </w:r>
      <w:r>
        <w:t>of the</w:t>
      </w:r>
      <w:r>
        <w:rPr>
          <w:spacing w:val="-5"/>
        </w:rPr>
        <w:t xml:space="preserve"> </w:t>
      </w:r>
      <w:r>
        <w:t>ownership</w:t>
      </w:r>
      <w:r>
        <w:rPr>
          <w:spacing w:val="-1"/>
        </w:rPr>
        <w:t xml:space="preserve"> </w:t>
      </w:r>
      <w:r>
        <w:rPr>
          <w:spacing w:val="-2"/>
        </w:rPr>
        <w:t>interest.</w:t>
      </w:r>
    </w:p>
    <w:p w14:paraId="0B9024F2" w14:textId="77777777" w:rsidR="00E820FD" w:rsidRDefault="00E820FD" w:rsidP="00E820FD">
      <w:pPr>
        <w:pStyle w:val="ListParagraph"/>
        <w:numPr>
          <w:ilvl w:val="0"/>
          <w:numId w:val="1"/>
        </w:numPr>
        <w:tabs>
          <w:tab w:val="left" w:pos="821"/>
        </w:tabs>
        <w:spacing w:before="12" w:line="247" w:lineRule="auto"/>
        <w:ind w:right="115"/>
        <w:jc w:val="both"/>
      </w:pPr>
      <w:r>
        <w:t>No</w:t>
      </w:r>
      <w:r>
        <w:rPr>
          <w:spacing w:val="-11"/>
        </w:rPr>
        <w:t xml:space="preserve"> </w:t>
      </w:r>
      <w:r>
        <w:t>investment</w:t>
      </w:r>
      <w:r>
        <w:rPr>
          <w:spacing w:val="-10"/>
        </w:rPr>
        <w:t xml:space="preserve"> </w:t>
      </w:r>
      <w:r>
        <w:t>of</w:t>
      </w:r>
      <w:r>
        <w:rPr>
          <w:spacing w:val="-14"/>
        </w:rPr>
        <w:t xml:space="preserve"> </w:t>
      </w:r>
      <w:r>
        <w:t>SSBCI</w:t>
      </w:r>
      <w:r>
        <w:rPr>
          <w:spacing w:val="-11"/>
        </w:rPr>
        <w:t xml:space="preserve"> </w:t>
      </w:r>
      <w:r>
        <w:t>funds</w:t>
      </w:r>
      <w:r>
        <w:rPr>
          <w:spacing w:val="-9"/>
        </w:rPr>
        <w:t xml:space="preserve"> </w:t>
      </w:r>
      <w:r>
        <w:t>can</w:t>
      </w:r>
      <w:r>
        <w:rPr>
          <w:spacing w:val="-9"/>
        </w:rPr>
        <w:t xml:space="preserve"> </w:t>
      </w:r>
      <w:r>
        <w:t>be</w:t>
      </w:r>
      <w:r>
        <w:rPr>
          <w:spacing w:val="-6"/>
        </w:rPr>
        <w:t xml:space="preserve"> </w:t>
      </w:r>
      <w:r>
        <w:t>made</w:t>
      </w:r>
      <w:r>
        <w:rPr>
          <w:spacing w:val="-11"/>
        </w:rPr>
        <w:t xml:space="preserve"> </w:t>
      </w:r>
      <w:r>
        <w:t>in</w:t>
      </w:r>
      <w:r>
        <w:rPr>
          <w:spacing w:val="-9"/>
        </w:rPr>
        <w:t xml:space="preserve"> </w:t>
      </w:r>
      <w:r>
        <w:t>a</w:t>
      </w:r>
      <w:r>
        <w:rPr>
          <w:spacing w:val="-11"/>
        </w:rPr>
        <w:t xml:space="preserve"> </w:t>
      </w:r>
      <w:r>
        <w:t>business</w:t>
      </w:r>
      <w:r>
        <w:rPr>
          <w:spacing w:val="-10"/>
        </w:rPr>
        <w:t xml:space="preserve"> </w:t>
      </w:r>
      <w:r>
        <w:t>in</w:t>
      </w:r>
      <w:r>
        <w:rPr>
          <w:spacing w:val="-9"/>
        </w:rPr>
        <w:t xml:space="preserve"> </w:t>
      </w:r>
      <w:r>
        <w:t>which</w:t>
      </w:r>
      <w:r>
        <w:rPr>
          <w:spacing w:val="-12"/>
        </w:rPr>
        <w:t xml:space="preserve"> </w:t>
      </w:r>
      <w:r>
        <w:t>an</w:t>
      </w:r>
      <w:r>
        <w:rPr>
          <w:spacing w:val="-12"/>
        </w:rPr>
        <w:t xml:space="preserve"> </w:t>
      </w:r>
      <w:r>
        <w:t>SSBCI</w:t>
      </w:r>
      <w:r>
        <w:rPr>
          <w:spacing w:val="-12"/>
        </w:rPr>
        <w:t xml:space="preserve"> </w:t>
      </w:r>
      <w:r>
        <w:t>insider</w:t>
      </w:r>
      <w:r>
        <w:rPr>
          <w:spacing w:val="-7"/>
        </w:rPr>
        <w:t xml:space="preserve"> </w:t>
      </w:r>
      <w:r>
        <w:t>has</w:t>
      </w:r>
      <w:r>
        <w:rPr>
          <w:spacing w:val="-13"/>
        </w:rPr>
        <w:t xml:space="preserve"> </w:t>
      </w:r>
      <w:r>
        <w:t>a</w:t>
      </w:r>
      <w:r>
        <w:rPr>
          <w:spacing w:val="-6"/>
        </w:rPr>
        <w:t xml:space="preserve"> </w:t>
      </w:r>
      <w:r>
        <w:t>personal financial</w:t>
      </w:r>
      <w:r>
        <w:rPr>
          <w:spacing w:val="-5"/>
        </w:rPr>
        <w:t xml:space="preserve"> </w:t>
      </w:r>
      <w:r>
        <w:t>interest,</w:t>
      </w:r>
      <w:r>
        <w:rPr>
          <w:spacing w:val="-9"/>
        </w:rPr>
        <w:t xml:space="preserve"> </w:t>
      </w:r>
      <w:r>
        <w:t>as</w:t>
      </w:r>
      <w:r>
        <w:rPr>
          <w:spacing w:val="-4"/>
        </w:rPr>
        <w:t xml:space="preserve"> </w:t>
      </w:r>
      <w:r>
        <w:t>defined</w:t>
      </w:r>
      <w:r>
        <w:rPr>
          <w:spacing w:val="-9"/>
        </w:rPr>
        <w:t xml:space="preserve"> </w:t>
      </w:r>
      <w:r>
        <w:t>in</w:t>
      </w:r>
      <w:r>
        <w:rPr>
          <w:spacing w:val="-4"/>
        </w:rPr>
        <w:t xml:space="preserve"> </w:t>
      </w:r>
      <w:r>
        <w:t>the</w:t>
      </w:r>
      <w:r>
        <w:rPr>
          <w:spacing w:val="-6"/>
        </w:rPr>
        <w:t xml:space="preserve"> </w:t>
      </w:r>
      <w:r>
        <w:t>SSBCI</w:t>
      </w:r>
      <w:r>
        <w:rPr>
          <w:spacing w:val="-7"/>
        </w:rPr>
        <w:t xml:space="preserve"> </w:t>
      </w:r>
      <w:r>
        <w:t>Capital</w:t>
      </w:r>
      <w:r>
        <w:rPr>
          <w:spacing w:val="-5"/>
        </w:rPr>
        <w:t xml:space="preserve"> </w:t>
      </w:r>
      <w:r>
        <w:t>Program</w:t>
      </w:r>
      <w:r>
        <w:rPr>
          <w:spacing w:val="-5"/>
        </w:rPr>
        <w:t xml:space="preserve"> </w:t>
      </w:r>
      <w:r>
        <w:t>Policy</w:t>
      </w:r>
      <w:r>
        <w:rPr>
          <w:spacing w:val="-4"/>
        </w:rPr>
        <w:t xml:space="preserve"> </w:t>
      </w:r>
      <w:r>
        <w:t>Guidelines.</w:t>
      </w:r>
      <w:r>
        <w:rPr>
          <w:spacing w:val="-4"/>
        </w:rPr>
        <w:t xml:space="preserve"> </w:t>
      </w:r>
      <w:r>
        <w:t>Upper</w:t>
      </w:r>
      <w:r>
        <w:rPr>
          <w:spacing w:val="-3"/>
        </w:rPr>
        <w:t xml:space="preserve"> </w:t>
      </w:r>
      <w:r>
        <w:t>management of the SEDI investment firms or executives of the portfolio companies cannot have</w:t>
      </w:r>
      <w:r>
        <w:rPr>
          <w:spacing w:val="-11"/>
        </w:rPr>
        <w:t xml:space="preserve"> </w:t>
      </w:r>
      <w:r>
        <w:t>any</w:t>
      </w:r>
      <w:r>
        <w:rPr>
          <w:spacing w:val="-9"/>
        </w:rPr>
        <w:t xml:space="preserve"> </w:t>
      </w:r>
      <w:r>
        <w:t>relationship</w:t>
      </w:r>
      <w:r>
        <w:rPr>
          <w:spacing w:val="-9"/>
        </w:rPr>
        <w:t xml:space="preserve"> </w:t>
      </w:r>
      <w:r>
        <w:t>with</w:t>
      </w:r>
      <w:r>
        <w:rPr>
          <w:spacing w:val="-9"/>
        </w:rPr>
        <w:t xml:space="preserve"> </w:t>
      </w:r>
      <w:r>
        <w:t>SSBCI</w:t>
      </w:r>
      <w:r>
        <w:rPr>
          <w:spacing w:val="-12"/>
        </w:rPr>
        <w:t xml:space="preserve"> </w:t>
      </w:r>
      <w:r>
        <w:t>executives.</w:t>
      </w:r>
      <w:r>
        <w:rPr>
          <w:spacing w:val="-5"/>
        </w:rPr>
        <w:t xml:space="preserve"> </w:t>
      </w:r>
      <w:r>
        <w:t>This</w:t>
      </w:r>
      <w:r>
        <w:rPr>
          <w:spacing w:val="-14"/>
        </w:rPr>
        <w:t xml:space="preserve"> </w:t>
      </w:r>
      <w:r>
        <w:t>requirement</w:t>
      </w:r>
      <w:r>
        <w:rPr>
          <w:spacing w:val="-10"/>
        </w:rPr>
        <w:t xml:space="preserve"> </w:t>
      </w:r>
      <w:r>
        <w:t>will</w:t>
      </w:r>
      <w:r>
        <w:rPr>
          <w:spacing w:val="-10"/>
        </w:rPr>
        <w:t xml:space="preserve"> </w:t>
      </w:r>
      <w:r>
        <w:t>be</w:t>
      </w:r>
      <w:r>
        <w:rPr>
          <w:spacing w:val="-6"/>
        </w:rPr>
        <w:t xml:space="preserve"> </w:t>
      </w:r>
      <w:r>
        <w:t>part</w:t>
      </w:r>
      <w:r>
        <w:rPr>
          <w:spacing w:val="-10"/>
        </w:rPr>
        <w:t xml:space="preserve"> </w:t>
      </w:r>
      <w:r>
        <w:t>of</w:t>
      </w:r>
      <w:r>
        <w:rPr>
          <w:spacing w:val="-7"/>
        </w:rPr>
        <w:t xml:space="preserve"> </w:t>
      </w:r>
      <w:r>
        <w:t>the</w:t>
      </w:r>
      <w:r>
        <w:rPr>
          <w:spacing w:val="-6"/>
        </w:rPr>
        <w:t xml:space="preserve"> </w:t>
      </w:r>
      <w:r>
        <w:t>required</w:t>
      </w:r>
      <w:r>
        <w:rPr>
          <w:spacing w:val="-14"/>
        </w:rPr>
        <w:t xml:space="preserve"> </w:t>
      </w:r>
      <w:r>
        <w:t>conflict of interest certification.</w:t>
      </w:r>
    </w:p>
    <w:p w14:paraId="33E618A7" w14:textId="77777777" w:rsidR="00E820FD" w:rsidRDefault="00E820FD" w:rsidP="00E820FD">
      <w:pPr>
        <w:pStyle w:val="ListParagraph"/>
        <w:numPr>
          <w:ilvl w:val="0"/>
          <w:numId w:val="1"/>
        </w:numPr>
        <w:tabs>
          <w:tab w:val="left" w:pos="821"/>
        </w:tabs>
        <w:spacing w:before="13" w:line="247" w:lineRule="auto"/>
        <w:ind w:right="121"/>
        <w:jc w:val="both"/>
      </w:pPr>
      <w:r>
        <w:t>An investment candidate cannot financially benefit from more than one state approved SSBCI program at a time without prior written consent of the U.S. Treasury.</w:t>
      </w:r>
    </w:p>
    <w:p w14:paraId="1D4C961D" w14:textId="77777777" w:rsidR="00E820FD" w:rsidRDefault="00E820FD" w:rsidP="00E820FD">
      <w:pPr>
        <w:spacing w:line="247" w:lineRule="auto"/>
        <w:jc w:val="both"/>
        <w:sectPr w:rsidR="00E820FD">
          <w:pgSz w:w="12240" w:h="15840"/>
          <w:pgMar w:top="1360" w:right="1320" w:bottom="1240" w:left="1340" w:header="0" w:footer="1055" w:gutter="0"/>
          <w:cols w:space="720"/>
        </w:sectPr>
      </w:pPr>
    </w:p>
    <w:p w14:paraId="1E27890A" w14:textId="77777777" w:rsidR="00E820FD" w:rsidRDefault="00E820FD" w:rsidP="00E820FD">
      <w:pPr>
        <w:pStyle w:val="ListParagraph"/>
        <w:numPr>
          <w:ilvl w:val="0"/>
          <w:numId w:val="1"/>
        </w:numPr>
        <w:tabs>
          <w:tab w:val="left" w:pos="821"/>
        </w:tabs>
        <w:spacing w:before="75" w:line="249" w:lineRule="auto"/>
        <w:ind w:right="108"/>
        <w:jc w:val="both"/>
      </w:pPr>
      <w:r>
        <w:lastRenderedPageBreak/>
        <w:t>Fund</w:t>
      </w:r>
      <w:r>
        <w:rPr>
          <w:spacing w:val="-1"/>
        </w:rPr>
        <w:t xml:space="preserve"> </w:t>
      </w:r>
      <w:r>
        <w:t>managers</w:t>
      </w:r>
      <w:r>
        <w:rPr>
          <w:spacing w:val="-1"/>
        </w:rPr>
        <w:t xml:space="preserve"> </w:t>
      </w:r>
      <w:r>
        <w:t>may</w:t>
      </w:r>
      <w:r>
        <w:rPr>
          <w:spacing w:val="-1"/>
        </w:rPr>
        <w:t xml:space="preserve"> </w:t>
      </w:r>
      <w:r>
        <w:t>not</w:t>
      </w:r>
      <w:r>
        <w:rPr>
          <w:spacing w:val="-3"/>
        </w:rPr>
        <w:t xml:space="preserve"> </w:t>
      </w:r>
      <w:r>
        <w:t>combine financing</w:t>
      </w:r>
      <w:r>
        <w:rPr>
          <w:spacing w:val="-1"/>
        </w:rPr>
        <w:t xml:space="preserve"> </w:t>
      </w:r>
      <w:r>
        <w:t>from</w:t>
      </w:r>
      <w:r>
        <w:rPr>
          <w:spacing w:val="-3"/>
        </w:rPr>
        <w:t xml:space="preserve"> </w:t>
      </w:r>
      <w:r>
        <w:t>private tax</w:t>
      </w:r>
      <w:r>
        <w:rPr>
          <w:spacing w:val="-1"/>
        </w:rPr>
        <w:t xml:space="preserve"> </w:t>
      </w:r>
      <w:r>
        <w:t>credit-supported</w:t>
      </w:r>
      <w:r>
        <w:rPr>
          <w:spacing w:val="-1"/>
        </w:rPr>
        <w:t xml:space="preserve"> </w:t>
      </w:r>
      <w:r>
        <w:t>entities</w:t>
      </w:r>
      <w:r>
        <w:rPr>
          <w:spacing w:val="-1"/>
        </w:rPr>
        <w:t xml:space="preserve"> </w:t>
      </w:r>
      <w:r>
        <w:t>(i.e.,</w:t>
      </w:r>
      <w:r>
        <w:rPr>
          <w:spacing w:val="-1"/>
        </w:rPr>
        <w:t xml:space="preserve"> </w:t>
      </w:r>
      <w:r>
        <w:t>entities that are funded through the sale of tax credits they received from a state) and SSBCI-supported programs for the same business purpose, or within the same investment or loan fund. Candidates will</w:t>
      </w:r>
      <w:r>
        <w:rPr>
          <w:spacing w:val="-5"/>
        </w:rPr>
        <w:t xml:space="preserve"> </w:t>
      </w:r>
      <w:r>
        <w:t>be</w:t>
      </w:r>
      <w:r>
        <w:rPr>
          <w:spacing w:val="-1"/>
        </w:rPr>
        <w:t xml:space="preserve"> </w:t>
      </w:r>
      <w:r>
        <w:t>required</w:t>
      </w:r>
      <w:r>
        <w:rPr>
          <w:spacing w:val="-9"/>
        </w:rPr>
        <w:t xml:space="preserve"> </w:t>
      </w:r>
      <w:r>
        <w:t>to</w:t>
      </w:r>
      <w:r>
        <w:rPr>
          <w:spacing w:val="-3"/>
        </w:rPr>
        <w:t xml:space="preserve"> </w:t>
      </w:r>
      <w:r>
        <w:t>attest</w:t>
      </w:r>
      <w:r>
        <w:rPr>
          <w:spacing w:val="-5"/>
        </w:rPr>
        <w:t xml:space="preserve"> </w:t>
      </w:r>
      <w:r>
        <w:t>that</w:t>
      </w:r>
      <w:r>
        <w:rPr>
          <w:spacing w:val="-5"/>
        </w:rPr>
        <w:t xml:space="preserve"> </w:t>
      </w:r>
      <w:r>
        <w:t>private capital</w:t>
      </w:r>
      <w:r>
        <w:rPr>
          <w:spacing w:val="-4"/>
        </w:rPr>
        <w:t xml:space="preserve"> </w:t>
      </w:r>
      <w:r>
        <w:t>is</w:t>
      </w:r>
      <w:r>
        <w:rPr>
          <w:spacing w:val="-3"/>
        </w:rPr>
        <w:t xml:space="preserve"> </w:t>
      </w:r>
      <w:r>
        <w:t>not</w:t>
      </w:r>
      <w:r>
        <w:rPr>
          <w:spacing w:val="-10"/>
        </w:rPr>
        <w:t xml:space="preserve"> </w:t>
      </w:r>
      <w:r>
        <w:t>from</w:t>
      </w:r>
      <w:r>
        <w:rPr>
          <w:spacing w:val="-4"/>
        </w:rPr>
        <w:t xml:space="preserve"> </w:t>
      </w:r>
      <w:r>
        <w:t>financing</w:t>
      </w:r>
      <w:r>
        <w:rPr>
          <w:spacing w:val="-3"/>
        </w:rPr>
        <w:t xml:space="preserve"> </w:t>
      </w:r>
      <w:r>
        <w:t>provided</w:t>
      </w:r>
      <w:r>
        <w:rPr>
          <w:spacing w:val="-3"/>
        </w:rPr>
        <w:t xml:space="preserve"> </w:t>
      </w:r>
      <w:r>
        <w:t>by</w:t>
      </w:r>
      <w:r>
        <w:rPr>
          <w:spacing w:val="-3"/>
        </w:rPr>
        <w:t xml:space="preserve"> </w:t>
      </w:r>
      <w:r>
        <w:t>tax-credit</w:t>
      </w:r>
      <w:r>
        <w:rPr>
          <w:spacing w:val="-5"/>
        </w:rPr>
        <w:t xml:space="preserve"> </w:t>
      </w:r>
      <w:r>
        <w:t>supported vehicles, such as funds capitalized by the sale of state tax credits.</w:t>
      </w:r>
    </w:p>
    <w:p w14:paraId="6DC10871" w14:textId="77777777" w:rsidR="00E820FD" w:rsidRDefault="00E820FD" w:rsidP="00E820FD">
      <w:pPr>
        <w:pStyle w:val="ListParagraph"/>
        <w:numPr>
          <w:ilvl w:val="0"/>
          <w:numId w:val="1"/>
        </w:numPr>
        <w:tabs>
          <w:tab w:val="left" w:pos="821"/>
        </w:tabs>
        <w:spacing w:line="249" w:lineRule="auto"/>
        <w:ind w:right="108"/>
        <w:jc w:val="both"/>
      </w:pPr>
      <w:r>
        <w:t>Principals</w:t>
      </w:r>
      <w:r>
        <w:rPr>
          <w:spacing w:val="-1"/>
        </w:rPr>
        <w:t xml:space="preserve"> </w:t>
      </w:r>
      <w:r>
        <w:t>of</w:t>
      </w:r>
      <w:r>
        <w:rPr>
          <w:spacing w:val="-1"/>
        </w:rPr>
        <w:t xml:space="preserve"> </w:t>
      </w:r>
      <w:r>
        <w:t>the investor or the investees</w:t>
      </w:r>
      <w:r>
        <w:rPr>
          <w:spacing w:val="-1"/>
        </w:rPr>
        <w:t xml:space="preserve"> </w:t>
      </w:r>
      <w:r>
        <w:t>cannot</w:t>
      </w:r>
      <w:r>
        <w:rPr>
          <w:spacing w:val="-3"/>
        </w:rPr>
        <w:t xml:space="preserve"> </w:t>
      </w:r>
      <w:r>
        <w:t>be convicted</w:t>
      </w:r>
      <w:r>
        <w:rPr>
          <w:spacing w:val="-1"/>
        </w:rPr>
        <w:t xml:space="preserve"> </w:t>
      </w:r>
      <w:r>
        <w:t>of a sex</w:t>
      </w:r>
      <w:r>
        <w:rPr>
          <w:spacing w:val="-1"/>
        </w:rPr>
        <w:t xml:space="preserve"> </w:t>
      </w:r>
      <w:r>
        <w:t>offense against</w:t>
      </w:r>
      <w:r>
        <w:rPr>
          <w:spacing w:val="-3"/>
        </w:rPr>
        <w:t xml:space="preserve"> </w:t>
      </w:r>
      <w:r>
        <w:t>a minor (as such terms are defined in section 111 of the Sex Offender Registration and Notification Act (34 U.S.C.</w:t>
      </w:r>
      <w:r>
        <w:rPr>
          <w:spacing w:val="-1"/>
        </w:rPr>
        <w:t xml:space="preserve"> </w:t>
      </w:r>
      <w:r>
        <w:t>§</w:t>
      </w:r>
      <w:r>
        <w:rPr>
          <w:spacing w:val="-1"/>
        </w:rPr>
        <w:t xml:space="preserve"> </w:t>
      </w:r>
      <w:r>
        <w:t>20911,</w:t>
      </w:r>
      <w:r>
        <w:rPr>
          <w:spacing w:val="-1"/>
        </w:rPr>
        <w:t xml:space="preserve"> </w:t>
      </w:r>
      <w:r>
        <w:t>formerly</w:t>
      </w:r>
      <w:r>
        <w:rPr>
          <w:spacing w:val="-1"/>
        </w:rPr>
        <w:t xml:space="preserve"> </w:t>
      </w:r>
      <w:r>
        <w:t>42</w:t>
      </w:r>
      <w:r>
        <w:rPr>
          <w:spacing w:val="-1"/>
        </w:rPr>
        <w:t xml:space="preserve"> </w:t>
      </w:r>
      <w:r>
        <w:t>U.S.C.</w:t>
      </w:r>
      <w:r>
        <w:rPr>
          <w:spacing w:val="-1"/>
        </w:rPr>
        <w:t xml:space="preserve"> </w:t>
      </w:r>
      <w:r>
        <w:t>§</w:t>
      </w:r>
      <w:r>
        <w:rPr>
          <w:spacing w:val="-1"/>
        </w:rPr>
        <w:t xml:space="preserve"> </w:t>
      </w:r>
      <w:r>
        <w:t>16911)).</w:t>
      </w:r>
      <w:r>
        <w:rPr>
          <w:spacing w:val="-1"/>
        </w:rPr>
        <w:t xml:space="preserve"> </w:t>
      </w:r>
      <w:r>
        <w:t>For this</w:t>
      </w:r>
      <w:r>
        <w:rPr>
          <w:spacing w:val="-2"/>
        </w:rPr>
        <w:t xml:space="preserve"> </w:t>
      </w:r>
      <w:r>
        <w:t>purpose,</w:t>
      </w:r>
      <w:r>
        <w:rPr>
          <w:spacing w:val="-1"/>
        </w:rPr>
        <w:t xml:space="preserve"> </w:t>
      </w:r>
      <w:r>
        <w:t>“principal” is</w:t>
      </w:r>
      <w:r>
        <w:rPr>
          <w:spacing w:val="-2"/>
        </w:rPr>
        <w:t xml:space="preserve"> </w:t>
      </w:r>
      <w:r>
        <w:t>defined</w:t>
      </w:r>
      <w:r>
        <w:rPr>
          <w:spacing w:val="-1"/>
        </w:rPr>
        <w:t xml:space="preserve"> </w:t>
      </w:r>
      <w:r>
        <w:t>as:</w:t>
      </w:r>
      <w:r>
        <w:rPr>
          <w:spacing w:val="-2"/>
        </w:rPr>
        <w:t xml:space="preserve"> </w:t>
      </w:r>
      <w:r>
        <w:t>if a sole proprietorship, the proprietor; if a partnership, each partner; if a corporation, limited liability company, association, development company, or other entity, each director, each of the five most highly compensated executives, officers, or employees of the entity, and each direct or indirect holder of 20 percent or more of the ownership stock or stock equivalent of the entity.</w:t>
      </w:r>
    </w:p>
    <w:p w14:paraId="216DBFA7" w14:textId="77777777" w:rsidR="00E820FD" w:rsidRDefault="00E820FD" w:rsidP="00E820FD">
      <w:pPr>
        <w:pStyle w:val="ListParagraph"/>
        <w:numPr>
          <w:ilvl w:val="0"/>
          <w:numId w:val="1"/>
        </w:numPr>
        <w:tabs>
          <w:tab w:val="left" w:pos="821"/>
        </w:tabs>
        <w:spacing w:before="4" w:line="247" w:lineRule="auto"/>
        <w:ind w:right="121"/>
        <w:jc w:val="both"/>
      </w:pPr>
      <w:r>
        <w:t>There is to be no conflict of interest with SSBCI insiders and the officers/directors/owners of the investment</w:t>
      </w:r>
      <w:r>
        <w:rPr>
          <w:spacing w:val="-9"/>
        </w:rPr>
        <w:t xml:space="preserve"> </w:t>
      </w:r>
      <w:r>
        <w:t>firm.</w:t>
      </w:r>
      <w:r>
        <w:rPr>
          <w:spacing w:val="-8"/>
        </w:rPr>
        <w:t xml:space="preserve"> </w:t>
      </w:r>
      <w:r>
        <w:t>There</w:t>
      </w:r>
      <w:r>
        <w:rPr>
          <w:spacing w:val="-5"/>
        </w:rPr>
        <w:t xml:space="preserve"> </w:t>
      </w:r>
      <w:r>
        <w:t>can</w:t>
      </w:r>
      <w:r>
        <w:rPr>
          <w:spacing w:val="-8"/>
        </w:rPr>
        <w:t xml:space="preserve"> </w:t>
      </w:r>
      <w:r>
        <w:t>be</w:t>
      </w:r>
      <w:r>
        <w:rPr>
          <w:spacing w:val="-5"/>
        </w:rPr>
        <w:t xml:space="preserve"> </w:t>
      </w:r>
      <w:r>
        <w:t>no</w:t>
      </w:r>
      <w:r>
        <w:rPr>
          <w:spacing w:val="-8"/>
        </w:rPr>
        <w:t xml:space="preserve"> </w:t>
      </w:r>
      <w:r>
        <w:t>SSBCI</w:t>
      </w:r>
      <w:r>
        <w:rPr>
          <w:spacing w:val="-11"/>
        </w:rPr>
        <w:t xml:space="preserve"> </w:t>
      </w:r>
      <w:r>
        <w:t>influencer,</w:t>
      </w:r>
      <w:r>
        <w:rPr>
          <w:spacing w:val="-8"/>
        </w:rPr>
        <w:t xml:space="preserve"> </w:t>
      </w:r>
      <w:r>
        <w:t>family</w:t>
      </w:r>
      <w:r>
        <w:rPr>
          <w:spacing w:val="-8"/>
        </w:rPr>
        <w:t xml:space="preserve"> </w:t>
      </w:r>
      <w:r>
        <w:t>member,</w:t>
      </w:r>
      <w:r>
        <w:rPr>
          <w:spacing w:val="-8"/>
        </w:rPr>
        <w:t xml:space="preserve"> </w:t>
      </w:r>
      <w:r>
        <w:t>or</w:t>
      </w:r>
      <w:r>
        <w:rPr>
          <w:spacing w:val="-6"/>
        </w:rPr>
        <w:t xml:space="preserve"> </w:t>
      </w:r>
      <w:r>
        <w:t>person</w:t>
      </w:r>
      <w:r>
        <w:rPr>
          <w:spacing w:val="-8"/>
        </w:rPr>
        <w:t xml:space="preserve"> </w:t>
      </w:r>
      <w:r>
        <w:t>of</w:t>
      </w:r>
      <w:r>
        <w:rPr>
          <w:spacing w:val="-6"/>
        </w:rPr>
        <w:t xml:space="preserve"> </w:t>
      </w:r>
      <w:r>
        <w:t>financial</w:t>
      </w:r>
      <w:r>
        <w:rPr>
          <w:spacing w:val="-9"/>
        </w:rPr>
        <w:t xml:space="preserve"> </w:t>
      </w:r>
      <w:r>
        <w:t>interest to be involved in the designation of funds for SSBCI program.</w:t>
      </w:r>
    </w:p>
    <w:p w14:paraId="0A5E3307" w14:textId="77777777" w:rsidR="00E820FD" w:rsidRDefault="00E820FD" w:rsidP="00E820FD">
      <w:pPr>
        <w:pStyle w:val="ListParagraph"/>
        <w:numPr>
          <w:ilvl w:val="0"/>
          <w:numId w:val="1"/>
        </w:numPr>
        <w:tabs>
          <w:tab w:val="left" w:pos="821"/>
        </w:tabs>
        <w:spacing w:before="8" w:line="247" w:lineRule="auto"/>
        <w:ind w:right="121"/>
        <w:jc w:val="both"/>
      </w:pPr>
      <w:r>
        <w:t>The funds are not to be invested in a</w:t>
      </w:r>
      <w:r>
        <w:rPr>
          <w:spacing w:val="-1"/>
        </w:rPr>
        <w:t xml:space="preserve"> </w:t>
      </w:r>
      <w:r>
        <w:t>firm where NJEDA or the appointed investment manager(s) has a financial commitment or is related to a professional at the invested firm.</w:t>
      </w:r>
    </w:p>
    <w:p w14:paraId="5AD84059" w14:textId="77777777" w:rsidR="00E820FD" w:rsidRDefault="00E820FD" w:rsidP="00E820FD">
      <w:pPr>
        <w:pStyle w:val="BodyText"/>
        <w:spacing w:before="171"/>
      </w:pPr>
    </w:p>
    <w:p w14:paraId="35298800" w14:textId="77777777" w:rsidR="00E820FD" w:rsidRDefault="00E820FD" w:rsidP="00E820FD">
      <w:pPr>
        <w:pStyle w:val="BodyText"/>
        <w:ind w:left="100"/>
        <w:jc w:val="both"/>
      </w:pPr>
      <w:r>
        <w:t>Fund</w:t>
      </w:r>
      <w:r>
        <w:rPr>
          <w:spacing w:val="-2"/>
        </w:rPr>
        <w:t xml:space="preserve"> </w:t>
      </w:r>
      <w:r>
        <w:t>&amp;</w:t>
      </w:r>
      <w:r>
        <w:rPr>
          <w:spacing w:val="-2"/>
        </w:rPr>
        <w:t xml:space="preserve"> </w:t>
      </w:r>
      <w:r>
        <w:t>NJ</w:t>
      </w:r>
      <w:r>
        <w:rPr>
          <w:spacing w:val="-1"/>
        </w:rPr>
        <w:t xml:space="preserve"> </w:t>
      </w:r>
      <w:r>
        <w:rPr>
          <w:spacing w:val="-2"/>
        </w:rPr>
        <w:t>Commitments:</w:t>
      </w:r>
    </w:p>
    <w:p w14:paraId="15533089" w14:textId="77777777" w:rsidR="00E820FD" w:rsidRDefault="00E820FD" w:rsidP="00E820FD">
      <w:pPr>
        <w:pStyle w:val="ListParagraph"/>
        <w:numPr>
          <w:ilvl w:val="0"/>
          <w:numId w:val="1"/>
        </w:numPr>
        <w:tabs>
          <w:tab w:val="left" w:pos="821"/>
        </w:tabs>
        <w:spacing w:before="172" w:line="247" w:lineRule="auto"/>
        <w:ind w:right="117"/>
        <w:jc w:val="both"/>
      </w:pPr>
      <w:r>
        <w:t>The selected fund manager(s)s must identify the services to be provided to portfolio companies and annually certify these services were provided.</w:t>
      </w:r>
    </w:p>
    <w:p w14:paraId="3379A4A7" w14:textId="77777777" w:rsidR="00E820FD" w:rsidRDefault="00E820FD" w:rsidP="00E820FD">
      <w:pPr>
        <w:pStyle w:val="ListParagraph"/>
        <w:numPr>
          <w:ilvl w:val="0"/>
          <w:numId w:val="1"/>
        </w:numPr>
        <w:tabs>
          <w:tab w:val="left" w:pos="821"/>
        </w:tabs>
        <w:spacing w:before="10" w:line="247" w:lineRule="auto"/>
        <w:ind w:right="119"/>
        <w:jc w:val="both"/>
      </w:pPr>
      <w:r>
        <w:t>The</w:t>
      </w:r>
      <w:r>
        <w:rPr>
          <w:spacing w:val="-10"/>
        </w:rPr>
        <w:t xml:space="preserve"> selected </w:t>
      </w:r>
      <w:r>
        <w:t>fund</w:t>
      </w:r>
      <w:r>
        <w:rPr>
          <w:spacing w:val="-11"/>
        </w:rPr>
        <w:t xml:space="preserve"> </w:t>
      </w:r>
      <w:r>
        <w:t>manager(s)</w:t>
      </w:r>
      <w:r>
        <w:rPr>
          <w:spacing w:val="-10"/>
        </w:rPr>
        <w:t xml:space="preserve"> </w:t>
      </w:r>
      <w:r>
        <w:t>must</w:t>
      </w:r>
      <w:r>
        <w:rPr>
          <w:spacing w:val="-13"/>
        </w:rPr>
        <w:t xml:space="preserve"> </w:t>
      </w:r>
      <w:r>
        <w:t>maintain</w:t>
      </w:r>
      <w:r>
        <w:rPr>
          <w:spacing w:val="-11"/>
        </w:rPr>
        <w:t xml:space="preserve"> </w:t>
      </w:r>
      <w:r>
        <w:t>detailed</w:t>
      </w:r>
      <w:r>
        <w:rPr>
          <w:spacing w:val="-11"/>
        </w:rPr>
        <w:t xml:space="preserve"> </w:t>
      </w:r>
      <w:r>
        <w:t>records</w:t>
      </w:r>
      <w:r>
        <w:rPr>
          <w:spacing w:val="-12"/>
        </w:rPr>
        <w:t xml:space="preserve"> </w:t>
      </w:r>
      <w:r>
        <w:t>of</w:t>
      </w:r>
      <w:r>
        <w:rPr>
          <w:spacing w:val="-10"/>
        </w:rPr>
        <w:t xml:space="preserve"> </w:t>
      </w:r>
      <w:r>
        <w:t>the</w:t>
      </w:r>
      <w:r>
        <w:rPr>
          <w:spacing w:val="-14"/>
        </w:rPr>
        <w:t xml:space="preserve"> </w:t>
      </w:r>
      <w:r>
        <w:t>total</w:t>
      </w:r>
      <w:r>
        <w:rPr>
          <w:spacing w:val="-12"/>
        </w:rPr>
        <w:t xml:space="preserve"> </w:t>
      </w:r>
      <w:r>
        <w:t>amount</w:t>
      </w:r>
      <w:r>
        <w:rPr>
          <w:spacing w:val="-8"/>
        </w:rPr>
        <w:t xml:space="preserve"> </w:t>
      </w:r>
      <w:r>
        <w:t>of</w:t>
      </w:r>
      <w:r>
        <w:rPr>
          <w:spacing w:val="-7"/>
        </w:rPr>
        <w:t xml:space="preserve"> </w:t>
      </w:r>
      <w:r>
        <w:t>the</w:t>
      </w:r>
      <w:r>
        <w:rPr>
          <w:spacing w:val="-9"/>
        </w:rPr>
        <w:t xml:space="preserve"> </w:t>
      </w:r>
      <w:r>
        <w:t>State’s</w:t>
      </w:r>
      <w:r>
        <w:rPr>
          <w:spacing w:val="-11"/>
        </w:rPr>
        <w:t xml:space="preserve"> </w:t>
      </w:r>
      <w:r>
        <w:t>SSBCI</w:t>
      </w:r>
      <w:r>
        <w:rPr>
          <w:spacing w:val="-14"/>
        </w:rPr>
        <w:t xml:space="preserve"> </w:t>
      </w:r>
      <w:r>
        <w:t xml:space="preserve">funds that are expended for NJ-based SEDI </w:t>
      </w:r>
      <w:proofErr w:type="gramStart"/>
      <w:r>
        <w:t>businesses..</w:t>
      </w:r>
      <w:proofErr w:type="gramEnd"/>
    </w:p>
    <w:p w14:paraId="5CAE6CF0" w14:textId="77777777" w:rsidR="00E820FD" w:rsidRDefault="00E820FD" w:rsidP="00E820FD">
      <w:pPr>
        <w:pStyle w:val="ListParagraph"/>
        <w:numPr>
          <w:ilvl w:val="0"/>
          <w:numId w:val="1"/>
        </w:numPr>
        <w:tabs>
          <w:tab w:val="left" w:pos="821"/>
        </w:tabs>
        <w:spacing w:before="3" w:line="249" w:lineRule="auto"/>
        <w:ind w:right="108"/>
        <w:jc w:val="both"/>
      </w:pPr>
      <w:r>
        <w:t>Noncompliance of an investment must be addressed immediately by the selected fund manager(s). The selected fund manager(s) must notify the Authority of the noncompliance and the actions taken to resolve the compliance issue, and the Authority will provide this information to the U.S. Treasury.</w:t>
      </w:r>
    </w:p>
    <w:p w14:paraId="2A961DF6" w14:textId="77777777" w:rsidR="00E820FD" w:rsidRDefault="00E820FD" w:rsidP="00E820FD">
      <w:pPr>
        <w:pStyle w:val="ListParagraph"/>
        <w:numPr>
          <w:ilvl w:val="0"/>
          <w:numId w:val="1"/>
        </w:numPr>
        <w:tabs>
          <w:tab w:val="left" w:pos="821"/>
        </w:tabs>
        <w:spacing w:before="7" w:line="247" w:lineRule="auto"/>
        <w:ind w:right="121"/>
        <w:jc w:val="both"/>
      </w:pPr>
      <w:r>
        <w:t>The selected fund manager(s) must obtain an assurance from each investee stating that the investment proceeds will be used for permissible purposes under the SSBCI program.</w:t>
      </w:r>
    </w:p>
    <w:p w14:paraId="5C0839FC" w14:textId="77777777" w:rsidR="00E820FD" w:rsidRDefault="00E820FD" w:rsidP="00E820FD">
      <w:pPr>
        <w:pStyle w:val="ListParagraph"/>
        <w:numPr>
          <w:ilvl w:val="0"/>
          <w:numId w:val="1"/>
        </w:numPr>
        <w:tabs>
          <w:tab w:val="left" w:pos="821"/>
        </w:tabs>
        <w:spacing w:before="4" w:line="249" w:lineRule="auto"/>
        <w:ind w:right="116"/>
        <w:jc w:val="both"/>
      </w:pPr>
      <w:r>
        <w:t>Managers</w:t>
      </w:r>
      <w:r>
        <w:rPr>
          <w:spacing w:val="-3"/>
        </w:rPr>
        <w:t xml:space="preserve"> </w:t>
      </w:r>
      <w:r>
        <w:t>and</w:t>
      </w:r>
      <w:r>
        <w:rPr>
          <w:spacing w:val="-3"/>
        </w:rPr>
        <w:t xml:space="preserve"> </w:t>
      </w:r>
      <w:r>
        <w:t>owners</w:t>
      </w:r>
      <w:r>
        <w:rPr>
          <w:spacing w:val="-3"/>
        </w:rPr>
        <w:t xml:space="preserve"> </w:t>
      </w:r>
      <w:r>
        <w:t>of</w:t>
      </w:r>
      <w:r>
        <w:rPr>
          <w:spacing w:val="-2"/>
        </w:rPr>
        <w:t xml:space="preserve"> </w:t>
      </w:r>
      <w:r>
        <w:t>the</w:t>
      </w:r>
      <w:r>
        <w:rPr>
          <w:spacing w:val="-1"/>
        </w:rPr>
        <w:t xml:space="preserve"> </w:t>
      </w:r>
      <w:r>
        <w:t>Fund</w:t>
      </w:r>
      <w:r>
        <w:rPr>
          <w:spacing w:val="-8"/>
        </w:rPr>
        <w:t xml:space="preserve"> </w:t>
      </w:r>
      <w:r>
        <w:t>cannot</w:t>
      </w:r>
      <w:r>
        <w:rPr>
          <w:spacing w:val="-1"/>
        </w:rPr>
        <w:t xml:space="preserve"> </w:t>
      </w:r>
      <w:r>
        <w:t>have</w:t>
      </w:r>
      <w:r>
        <w:rPr>
          <w:spacing w:val="-1"/>
        </w:rPr>
        <w:t xml:space="preserve"> </w:t>
      </w:r>
      <w:r>
        <w:t>been</w:t>
      </w:r>
      <w:r>
        <w:rPr>
          <w:spacing w:val="-7"/>
        </w:rPr>
        <w:t xml:space="preserve"> </w:t>
      </w:r>
      <w:r>
        <w:t>convicted</w:t>
      </w:r>
      <w:r>
        <w:rPr>
          <w:spacing w:val="-3"/>
        </w:rPr>
        <w:t xml:space="preserve"> </w:t>
      </w:r>
      <w:r>
        <w:t>of</w:t>
      </w:r>
      <w:r>
        <w:rPr>
          <w:spacing w:val="-6"/>
        </w:rPr>
        <w:t xml:space="preserve"> </w:t>
      </w:r>
      <w:r>
        <w:t>a</w:t>
      </w:r>
      <w:r>
        <w:rPr>
          <w:spacing w:val="-1"/>
        </w:rPr>
        <w:t xml:space="preserve"> </w:t>
      </w:r>
      <w:r>
        <w:t>sex</w:t>
      </w:r>
      <w:r>
        <w:rPr>
          <w:spacing w:val="-8"/>
        </w:rPr>
        <w:t xml:space="preserve"> </w:t>
      </w:r>
      <w:r>
        <w:t>offense</w:t>
      </w:r>
      <w:r>
        <w:rPr>
          <w:spacing w:val="-6"/>
        </w:rPr>
        <w:t xml:space="preserve"> </w:t>
      </w:r>
      <w:r>
        <w:t>against</w:t>
      </w:r>
      <w:r>
        <w:rPr>
          <w:spacing w:val="-4"/>
        </w:rPr>
        <w:t xml:space="preserve"> </w:t>
      </w:r>
      <w:r>
        <w:t>a</w:t>
      </w:r>
      <w:r>
        <w:rPr>
          <w:spacing w:val="-5"/>
        </w:rPr>
        <w:t xml:space="preserve"> </w:t>
      </w:r>
      <w:r>
        <w:t>minor</w:t>
      </w:r>
      <w:r>
        <w:rPr>
          <w:spacing w:val="-2"/>
        </w:rPr>
        <w:t xml:space="preserve"> </w:t>
      </w:r>
      <w:r>
        <w:t>(as such terms are defined in section 111 of the Sex Offender Registration and Notification Act (34 U.S.C. § 20911)). For this purpose, “managers, owners and executives” are defined as a director, or each of the five most highly compensated executives, officers, or employees of the entity, and each direct or indirect holder of 20 percent or more of the ownership stock or stock equivalent of the entity.</w:t>
      </w:r>
    </w:p>
    <w:p w14:paraId="42A56DA9" w14:textId="77777777" w:rsidR="00E820FD" w:rsidRDefault="00E820FD" w:rsidP="00E820FD">
      <w:pPr>
        <w:pStyle w:val="BodyText"/>
        <w:spacing w:before="8"/>
      </w:pPr>
    </w:p>
    <w:p w14:paraId="5F6CC28F" w14:textId="77777777" w:rsidR="00E820FD" w:rsidRDefault="00E820FD" w:rsidP="00E820FD">
      <w:pPr>
        <w:pStyle w:val="BodyText"/>
        <w:ind w:left="100"/>
        <w:jc w:val="both"/>
      </w:pPr>
      <w:r>
        <w:t>Other</w:t>
      </w:r>
      <w:r>
        <w:rPr>
          <w:spacing w:val="-3"/>
        </w:rPr>
        <w:t xml:space="preserve"> </w:t>
      </w:r>
      <w:r>
        <w:t>Transaction</w:t>
      </w:r>
      <w:r>
        <w:rPr>
          <w:spacing w:val="-3"/>
        </w:rPr>
        <w:t xml:space="preserve"> </w:t>
      </w:r>
      <w:r>
        <w:rPr>
          <w:spacing w:val="-2"/>
        </w:rPr>
        <w:t>Requirements:</w:t>
      </w:r>
    </w:p>
    <w:p w14:paraId="6A70E3CE" w14:textId="77777777" w:rsidR="00E820FD" w:rsidRDefault="00E820FD" w:rsidP="00E820FD">
      <w:pPr>
        <w:pStyle w:val="ListParagraph"/>
        <w:numPr>
          <w:ilvl w:val="0"/>
          <w:numId w:val="1"/>
        </w:numPr>
        <w:tabs>
          <w:tab w:val="left" w:pos="821"/>
        </w:tabs>
        <w:spacing w:before="12" w:line="249" w:lineRule="auto"/>
        <w:ind w:right="113"/>
        <w:jc w:val="both"/>
      </w:pPr>
      <w:r>
        <w:t>Recipients</w:t>
      </w:r>
      <w:r>
        <w:rPr>
          <w:spacing w:val="-3"/>
        </w:rPr>
        <w:t xml:space="preserve"> </w:t>
      </w:r>
      <w:r>
        <w:t>of</w:t>
      </w:r>
      <w:r>
        <w:rPr>
          <w:spacing w:val="-7"/>
        </w:rPr>
        <w:t xml:space="preserve"> </w:t>
      </w:r>
      <w:r>
        <w:t>SSBCI</w:t>
      </w:r>
      <w:r>
        <w:rPr>
          <w:spacing w:val="-6"/>
        </w:rPr>
        <w:t xml:space="preserve"> </w:t>
      </w:r>
      <w:r>
        <w:t>funds</w:t>
      </w:r>
      <w:r>
        <w:rPr>
          <w:spacing w:val="-8"/>
        </w:rPr>
        <w:t xml:space="preserve"> </w:t>
      </w:r>
      <w:r>
        <w:t>are</w:t>
      </w:r>
      <w:r>
        <w:rPr>
          <w:spacing w:val="-5"/>
        </w:rPr>
        <w:t xml:space="preserve"> </w:t>
      </w:r>
      <w:r>
        <w:t>not</w:t>
      </w:r>
      <w:r>
        <w:rPr>
          <w:spacing w:val="-4"/>
        </w:rPr>
        <w:t xml:space="preserve"> </w:t>
      </w:r>
      <w:r>
        <w:t>to</w:t>
      </w:r>
      <w:r>
        <w:rPr>
          <w:spacing w:val="-3"/>
        </w:rPr>
        <w:t xml:space="preserve"> </w:t>
      </w:r>
      <w:r>
        <w:t>be</w:t>
      </w:r>
      <w:r>
        <w:rPr>
          <w:spacing w:val="-1"/>
        </w:rPr>
        <w:t xml:space="preserve"> </w:t>
      </w:r>
      <w:r>
        <w:t>discriminated</w:t>
      </w:r>
      <w:r>
        <w:rPr>
          <w:spacing w:val="-3"/>
        </w:rPr>
        <w:t xml:space="preserve"> </w:t>
      </w:r>
      <w:r>
        <w:t>against</w:t>
      </w:r>
      <w:r>
        <w:rPr>
          <w:spacing w:val="-4"/>
        </w:rPr>
        <w:t xml:space="preserve"> </w:t>
      </w:r>
      <w:r>
        <w:t>based</w:t>
      </w:r>
      <w:r>
        <w:rPr>
          <w:spacing w:val="-8"/>
        </w:rPr>
        <w:t xml:space="preserve"> </w:t>
      </w:r>
      <w:r>
        <w:t>on</w:t>
      </w:r>
      <w:r>
        <w:rPr>
          <w:spacing w:val="-3"/>
        </w:rPr>
        <w:t xml:space="preserve"> </w:t>
      </w:r>
      <w:r>
        <w:t>race,</w:t>
      </w:r>
      <w:r>
        <w:rPr>
          <w:spacing w:val="-8"/>
        </w:rPr>
        <w:t xml:space="preserve"> </w:t>
      </w:r>
      <w:r>
        <w:t>color,</w:t>
      </w:r>
      <w:r>
        <w:rPr>
          <w:spacing w:val="-3"/>
        </w:rPr>
        <w:t xml:space="preserve"> </w:t>
      </w:r>
      <w:r>
        <w:t>national</w:t>
      </w:r>
      <w:r>
        <w:rPr>
          <w:spacing w:val="-4"/>
        </w:rPr>
        <w:t xml:space="preserve"> </w:t>
      </w:r>
      <w:r>
        <w:t>origin (including limited English proficiency), disability, age, or sex (including sexual orientation and gender identity).</w:t>
      </w:r>
    </w:p>
    <w:p w14:paraId="07E03958" w14:textId="77777777" w:rsidR="00E820FD" w:rsidRDefault="00E820FD" w:rsidP="00E820FD">
      <w:pPr>
        <w:pStyle w:val="ListParagraph"/>
        <w:numPr>
          <w:ilvl w:val="0"/>
          <w:numId w:val="1"/>
        </w:numPr>
        <w:tabs>
          <w:tab w:val="left" w:pos="821"/>
        </w:tabs>
        <w:spacing w:before="2" w:line="247" w:lineRule="auto"/>
        <w:ind w:right="110"/>
        <w:jc w:val="both"/>
      </w:pPr>
      <w:r>
        <w:t>SSBCI capital must be separately accounted for in all transactions. Records of direct and indirect private financing motivated by SSBCI funds must be maintained. The fund manager(s) must provide</w:t>
      </w:r>
      <w:r>
        <w:rPr>
          <w:spacing w:val="-8"/>
        </w:rPr>
        <w:t xml:space="preserve"> </w:t>
      </w:r>
      <w:r>
        <w:t>transaction-level</w:t>
      </w:r>
      <w:r>
        <w:rPr>
          <w:spacing w:val="-12"/>
        </w:rPr>
        <w:t xml:space="preserve"> </w:t>
      </w:r>
      <w:r>
        <w:t>information</w:t>
      </w:r>
      <w:r>
        <w:rPr>
          <w:spacing w:val="-11"/>
        </w:rPr>
        <w:t xml:space="preserve"> </w:t>
      </w:r>
      <w:r>
        <w:t>including</w:t>
      </w:r>
      <w:r>
        <w:rPr>
          <w:spacing w:val="-14"/>
        </w:rPr>
        <w:t xml:space="preserve"> </w:t>
      </w:r>
      <w:r>
        <w:t>additional</w:t>
      </w:r>
      <w:r>
        <w:rPr>
          <w:spacing w:val="-11"/>
        </w:rPr>
        <w:t xml:space="preserve"> </w:t>
      </w:r>
      <w:r>
        <w:t>private</w:t>
      </w:r>
      <w:r>
        <w:rPr>
          <w:spacing w:val="-13"/>
        </w:rPr>
        <w:t xml:space="preserve"> </w:t>
      </w:r>
      <w:r>
        <w:t>financing</w:t>
      </w:r>
      <w:r>
        <w:rPr>
          <w:spacing w:val="-11"/>
        </w:rPr>
        <w:t xml:space="preserve"> </w:t>
      </w:r>
      <w:r>
        <w:t>in</w:t>
      </w:r>
      <w:r>
        <w:rPr>
          <w:spacing w:val="-11"/>
        </w:rPr>
        <w:t xml:space="preserve"> </w:t>
      </w:r>
      <w:r>
        <w:t>portfolio</w:t>
      </w:r>
      <w:r>
        <w:rPr>
          <w:spacing w:val="-11"/>
        </w:rPr>
        <w:t xml:space="preserve"> </w:t>
      </w:r>
      <w:r>
        <w:t>companies and subsequent company growth. This information will be shared with U.S. Treasury by NJEDA.</w:t>
      </w:r>
    </w:p>
    <w:p w14:paraId="4004A0D6" w14:textId="77777777" w:rsidR="00E820FD" w:rsidRDefault="00E820FD" w:rsidP="00E820FD">
      <w:pPr>
        <w:pStyle w:val="ListParagraph"/>
        <w:numPr>
          <w:ilvl w:val="0"/>
          <w:numId w:val="1"/>
        </w:numPr>
        <w:tabs>
          <w:tab w:val="left" w:pos="819"/>
        </w:tabs>
        <w:spacing w:before="13" w:line="398" w:lineRule="auto"/>
        <w:ind w:left="100" w:right="880" w:firstLine="360"/>
        <w:jc w:val="both"/>
      </w:pPr>
      <w:r>
        <w:t>All</w:t>
      </w:r>
      <w:r>
        <w:rPr>
          <w:spacing w:val="-5"/>
        </w:rPr>
        <w:t xml:space="preserve"> </w:t>
      </w:r>
      <w:r>
        <w:t>transactions</w:t>
      </w:r>
      <w:r>
        <w:rPr>
          <w:spacing w:val="-3"/>
        </w:rPr>
        <w:t xml:space="preserve"> </w:t>
      </w:r>
      <w:r>
        <w:t>must</w:t>
      </w:r>
      <w:r>
        <w:rPr>
          <w:spacing w:val="-5"/>
        </w:rPr>
        <w:t xml:space="preserve"> </w:t>
      </w:r>
      <w:r>
        <w:t>include</w:t>
      </w:r>
      <w:r>
        <w:rPr>
          <w:spacing w:val="-1"/>
        </w:rPr>
        <w:t xml:space="preserve"> </w:t>
      </w:r>
      <w:r>
        <w:t>disclosure</w:t>
      </w:r>
      <w:r>
        <w:rPr>
          <w:spacing w:val="-1"/>
        </w:rPr>
        <w:t xml:space="preserve"> </w:t>
      </w:r>
      <w:r>
        <w:t>by</w:t>
      </w:r>
      <w:r>
        <w:rPr>
          <w:spacing w:val="-3"/>
        </w:rPr>
        <w:t xml:space="preserve"> </w:t>
      </w:r>
      <w:r>
        <w:t>the</w:t>
      </w:r>
      <w:r>
        <w:rPr>
          <w:spacing w:val="-1"/>
        </w:rPr>
        <w:t xml:space="preserve"> </w:t>
      </w:r>
      <w:r>
        <w:t>investor</w:t>
      </w:r>
      <w:r>
        <w:rPr>
          <w:spacing w:val="-2"/>
        </w:rPr>
        <w:t xml:space="preserve"> </w:t>
      </w:r>
      <w:r>
        <w:t>in</w:t>
      </w:r>
      <w:r>
        <w:rPr>
          <w:spacing w:val="-3"/>
        </w:rPr>
        <w:t xml:space="preserve"> </w:t>
      </w:r>
      <w:r>
        <w:t>an</w:t>
      </w:r>
      <w:r>
        <w:rPr>
          <w:spacing w:val="-3"/>
        </w:rPr>
        <w:t xml:space="preserve"> </w:t>
      </w:r>
      <w:r>
        <w:t>easy-to-understand</w:t>
      </w:r>
      <w:r>
        <w:rPr>
          <w:spacing w:val="-3"/>
        </w:rPr>
        <w:t xml:space="preserve"> </w:t>
      </w:r>
      <w:r>
        <w:t>manner. SSBCI Privacy Notice and Privacy Act Statement:</w:t>
      </w:r>
    </w:p>
    <w:p w14:paraId="0C9B109B" w14:textId="77777777" w:rsidR="00E820FD" w:rsidRDefault="00E820FD" w:rsidP="00E820FD">
      <w:pPr>
        <w:spacing w:line="398" w:lineRule="auto"/>
        <w:jc w:val="both"/>
        <w:sectPr w:rsidR="00E820FD">
          <w:pgSz w:w="12240" w:h="15840"/>
          <w:pgMar w:top="1360" w:right="1320" w:bottom="1240" w:left="1340" w:header="0" w:footer="1055" w:gutter="0"/>
          <w:cols w:space="720"/>
        </w:sectPr>
      </w:pPr>
    </w:p>
    <w:p w14:paraId="33D8BC23" w14:textId="77777777" w:rsidR="00E820FD" w:rsidRDefault="00E820FD" w:rsidP="00E820FD">
      <w:pPr>
        <w:pStyle w:val="BodyText"/>
        <w:spacing w:before="70" w:line="249" w:lineRule="auto"/>
        <w:ind w:left="100" w:right="111"/>
        <w:jc w:val="both"/>
      </w:pPr>
      <w:r>
        <w:lastRenderedPageBreak/>
        <w:t>The selected fund manager(s) are required to provide investee companies with a privacy notice and privacy act statement</w:t>
      </w:r>
      <w:r>
        <w:rPr>
          <w:spacing w:val="-4"/>
        </w:rPr>
        <w:t xml:space="preserve"> </w:t>
      </w:r>
      <w:r>
        <w:t>when</w:t>
      </w:r>
      <w:r>
        <w:rPr>
          <w:spacing w:val="-9"/>
        </w:rPr>
        <w:t xml:space="preserve"> </w:t>
      </w:r>
      <w:r>
        <w:t>investing</w:t>
      </w:r>
      <w:r>
        <w:rPr>
          <w:spacing w:val="-3"/>
        </w:rPr>
        <w:t xml:space="preserve"> </w:t>
      </w:r>
      <w:r>
        <w:t>and</w:t>
      </w:r>
      <w:r>
        <w:rPr>
          <w:spacing w:val="-9"/>
        </w:rPr>
        <w:t xml:space="preserve"> </w:t>
      </w:r>
      <w:r>
        <w:t>collecting</w:t>
      </w:r>
      <w:r>
        <w:rPr>
          <w:spacing w:val="-3"/>
        </w:rPr>
        <w:t xml:space="preserve"> </w:t>
      </w:r>
      <w:r>
        <w:t>information</w:t>
      </w:r>
      <w:r>
        <w:rPr>
          <w:spacing w:val="-9"/>
        </w:rPr>
        <w:t xml:space="preserve"> </w:t>
      </w:r>
      <w:r>
        <w:t>from</w:t>
      </w:r>
      <w:r>
        <w:rPr>
          <w:spacing w:val="-6"/>
        </w:rPr>
        <w:t xml:space="preserve"> </w:t>
      </w:r>
      <w:r>
        <w:t>investee</w:t>
      </w:r>
      <w:r>
        <w:rPr>
          <w:spacing w:val="-6"/>
        </w:rPr>
        <w:t xml:space="preserve"> </w:t>
      </w:r>
      <w:r>
        <w:t>companies.</w:t>
      </w:r>
      <w:r>
        <w:rPr>
          <w:spacing w:val="-3"/>
        </w:rPr>
        <w:t xml:space="preserve"> </w:t>
      </w:r>
      <w:r>
        <w:t>A</w:t>
      </w:r>
      <w:r>
        <w:rPr>
          <w:spacing w:val="-3"/>
        </w:rPr>
        <w:t xml:space="preserve"> </w:t>
      </w:r>
      <w:r>
        <w:t>sample</w:t>
      </w:r>
      <w:r>
        <w:rPr>
          <w:spacing w:val="-1"/>
        </w:rPr>
        <w:t xml:space="preserve"> </w:t>
      </w:r>
      <w:r>
        <w:t>of</w:t>
      </w:r>
      <w:r>
        <w:rPr>
          <w:spacing w:val="-7"/>
        </w:rPr>
        <w:t xml:space="preserve"> </w:t>
      </w:r>
      <w:r>
        <w:t>this</w:t>
      </w:r>
      <w:r>
        <w:rPr>
          <w:spacing w:val="-3"/>
        </w:rPr>
        <w:t xml:space="preserve"> </w:t>
      </w:r>
      <w:r>
        <w:t xml:space="preserve">disclosure is available for review in the SSBCI Capital Program Reporting Guidance, Appendix 2, accessible on the US Treasury’s website </w:t>
      </w:r>
      <w:hyperlink r:id="rId7">
        <w:r>
          <w:rPr>
            <w:color w:val="0462C1"/>
            <w:u w:val="single" w:color="0462C1"/>
          </w:rPr>
          <w:t>https://home.treasury.gov/system/files/136/SSBCI-Reporting-Guidance.pdf</w:t>
        </w:r>
      </w:hyperlink>
      <w:r>
        <w:rPr>
          <w:color w:val="0462C1"/>
        </w:rPr>
        <w:t xml:space="preserve"> </w:t>
      </w:r>
      <w:r>
        <w:t>, as of the date of this notice.</w:t>
      </w:r>
    </w:p>
    <w:p w14:paraId="1CB65C8A" w14:textId="77777777" w:rsidR="00E820FD" w:rsidRDefault="00E820FD" w:rsidP="00E820FD">
      <w:pPr>
        <w:pStyle w:val="BodyText"/>
        <w:spacing w:before="160"/>
        <w:ind w:left="100"/>
        <w:jc w:val="both"/>
      </w:pPr>
      <w:r>
        <w:t>We</w:t>
      </w:r>
      <w:r>
        <w:rPr>
          <w:spacing w:val="-2"/>
        </w:rPr>
        <w:t xml:space="preserve"> </w:t>
      </w:r>
      <w:r>
        <w:t>thank</w:t>
      </w:r>
      <w:r>
        <w:rPr>
          <w:spacing w:val="-2"/>
        </w:rPr>
        <w:t xml:space="preserve"> </w:t>
      </w:r>
      <w:r>
        <w:t>you</w:t>
      </w:r>
      <w:r>
        <w:rPr>
          <w:spacing w:val="-8"/>
        </w:rPr>
        <w:t xml:space="preserve"> </w:t>
      </w:r>
      <w:r>
        <w:t>for</w:t>
      </w:r>
      <w:r>
        <w:rPr>
          <w:spacing w:val="-1"/>
        </w:rPr>
        <w:t xml:space="preserve"> </w:t>
      </w:r>
      <w:r>
        <w:t>your</w:t>
      </w:r>
      <w:r>
        <w:rPr>
          <w:spacing w:val="-1"/>
        </w:rPr>
        <w:t xml:space="preserve"> </w:t>
      </w:r>
      <w:r>
        <w:t>interest</w:t>
      </w:r>
      <w:r>
        <w:rPr>
          <w:spacing w:val="-4"/>
        </w:rPr>
        <w:t xml:space="preserve"> </w:t>
      </w:r>
      <w:r>
        <w:t>in</w:t>
      </w:r>
      <w:r>
        <w:rPr>
          <w:spacing w:val="-2"/>
        </w:rPr>
        <w:t xml:space="preserve"> </w:t>
      </w:r>
      <w:r>
        <w:t>supporting</w:t>
      </w:r>
      <w:r>
        <w:rPr>
          <w:spacing w:val="1"/>
        </w:rPr>
        <w:t xml:space="preserve"> </w:t>
      </w:r>
      <w:r>
        <w:t>New</w:t>
      </w:r>
      <w:r>
        <w:rPr>
          <w:spacing w:val="-2"/>
        </w:rPr>
        <w:t xml:space="preserve"> </w:t>
      </w:r>
      <w:r>
        <w:t>Jersey’s</w:t>
      </w:r>
      <w:r>
        <w:rPr>
          <w:spacing w:val="-2"/>
        </w:rPr>
        <w:t xml:space="preserve"> </w:t>
      </w:r>
      <w:r>
        <w:t>innovation</w:t>
      </w:r>
      <w:r>
        <w:rPr>
          <w:spacing w:val="-1"/>
        </w:rPr>
        <w:t xml:space="preserve"> </w:t>
      </w:r>
      <w:r>
        <w:rPr>
          <w:spacing w:val="-2"/>
        </w:rPr>
        <w:t>ecosystem.</w:t>
      </w:r>
    </w:p>
    <w:p w14:paraId="3AD86366" w14:textId="77777777" w:rsidR="00000000" w:rsidRDefault="00000000"/>
    <w:sectPr w:rsidR="000E6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21B78"/>
    <w:multiLevelType w:val="hybridMultilevel"/>
    <w:tmpl w:val="19646836"/>
    <w:lvl w:ilvl="0" w:tplc="4D5AEBD8">
      <w:numFmt w:val="bullet"/>
      <w:lvlText w:val=""/>
      <w:lvlJc w:val="left"/>
      <w:pPr>
        <w:ind w:left="821" w:hanging="360"/>
      </w:pPr>
      <w:rPr>
        <w:rFonts w:ascii="Wingdings" w:eastAsia="Wingdings" w:hAnsi="Wingdings" w:cs="Wingdings" w:hint="default"/>
        <w:b w:val="0"/>
        <w:bCs w:val="0"/>
        <w:i w:val="0"/>
        <w:iCs w:val="0"/>
        <w:spacing w:val="0"/>
        <w:w w:val="100"/>
        <w:sz w:val="22"/>
        <w:szCs w:val="22"/>
        <w:lang w:val="en-US" w:eastAsia="en-US" w:bidi="ar-SA"/>
      </w:rPr>
    </w:lvl>
    <w:lvl w:ilvl="1" w:tplc="789EE7AE">
      <w:numFmt w:val="bullet"/>
      <w:lvlText w:val="•"/>
      <w:lvlJc w:val="left"/>
      <w:pPr>
        <w:ind w:left="1696" w:hanging="360"/>
      </w:pPr>
      <w:rPr>
        <w:rFonts w:hint="default"/>
        <w:lang w:val="en-US" w:eastAsia="en-US" w:bidi="ar-SA"/>
      </w:rPr>
    </w:lvl>
    <w:lvl w:ilvl="2" w:tplc="AF68AA92">
      <w:numFmt w:val="bullet"/>
      <w:lvlText w:val="•"/>
      <w:lvlJc w:val="left"/>
      <w:pPr>
        <w:ind w:left="2572" w:hanging="360"/>
      </w:pPr>
      <w:rPr>
        <w:rFonts w:hint="default"/>
        <w:lang w:val="en-US" w:eastAsia="en-US" w:bidi="ar-SA"/>
      </w:rPr>
    </w:lvl>
    <w:lvl w:ilvl="3" w:tplc="12F46D1A">
      <w:numFmt w:val="bullet"/>
      <w:lvlText w:val="•"/>
      <w:lvlJc w:val="left"/>
      <w:pPr>
        <w:ind w:left="3448" w:hanging="360"/>
      </w:pPr>
      <w:rPr>
        <w:rFonts w:hint="default"/>
        <w:lang w:val="en-US" w:eastAsia="en-US" w:bidi="ar-SA"/>
      </w:rPr>
    </w:lvl>
    <w:lvl w:ilvl="4" w:tplc="ECE47B78">
      <w:numFmt w:val="bullet"/>
      <w:lvlText w:val="•"/>
      <w:lvlJc w:val="left"/>
      <w:pPr>
        <w:ind w:left="4324" w:hanging="360"/>
      </w:pPr>
      <w:rPr>
        <w:rFonts w:hint="default"/>
        <w:lang w:val="en-US" w:eastAsia="en-US" w:bidi="ar-SA"/>
      </w:rPr>
    </w:lvl>
    <w:lvl w:ilvl="5" w:tplc="05BEA746">
      <w:numFmt w:val="bullet"/>
      <w:lvlText w:val="•"/>
      <w:lvlJc w:val="left"/>
      <w:pPr>
        <w:ind w:left="5200" w:hanging="360"/>
      </w:pPr>
      <w:rPr>
        <w:rFonts w:hint="default"/>
        <w:lang w:val="en-US" w:eastAsia="en-US" w:bidi="ar-SA"/>
      </w:rPr>
    </w:lvl>
    <w:lvl w:ilvl="6" w:tplc="D662F67C">
      <w:numFmt w:val="bullet"/>
      <w:lvlText w:val="•"/>
      <w:lvlJc w:val="left"/>
      <w:pPr>
        <w:ind w:left="6076" w:hanging="360"/>
      </w:pPr>
      <w:rPr>
        <w:rFonts w:hint="default"/>
        <w:lang w:val="en-US" w:eastAsia="en-US" w:bidi="ar-SA"/>
      </w:rPr>
    </w:lvl>
    <w:lvl w:ilvl="7" w:tplc="A39C0464">
      <w:numFmt w:val="bullet"/>
      <w:lvlText w:val="•"/>
      <w:lvlJc w:val="left"/>
      <w:pPr>
        <w:ind w:left="6952" w:hanging="360"/>
      </w:pPr>
      <w:rPr>
        <w:rFonts w:hint="default"/>
        <w:lang w:val="en-US" w:eastAsia="en-US" w:bidi="ar-SA"/>
      </w:rPr>
    </w:lvl>
    <w:lvl w:ilvl="8" w:tplc="C5B8A4CA">
      <w:numFmt w:val="bullet"/>
      <w:lvlText w:val="•"/>
      <w:lvlJc w:val="left"/>
      <w:pPr>
        <w:ind w:left="7828" w:hanging="360"/>
      </w:pPr>
      <w:rPr>
        <w:rFonts w:hint="default"/>
        <w:lang w:val="en-US" w:eastAsia="en-US" w:bidi="ar-SA"/>
      </w:rPr>
    </w:lvl>
  </w:abstractNum>
  <w:num w:numId="1" w16cid:durableId="453524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FD"/>
    <w:rsid w:val="00450F0E"/>
    <w:rsid w:val="00E820FD"/>
    <w:rsid w:val="00FD6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B91FC"/>
  <w15:chartTrackingRefBased/>
  <w15:docId w15:val="{5BE1FC6A-0061-426C-9F1F-453ADDCE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0F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E820FD"/>
    <w:pPr>
      <w:spacing w:before="70"/>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0FD"/>
    <w:rPr>
      <w:rFonts w:ascii="Times New Roman" w:eastAsia="Times New Roman" w:hAnsi="Times New Roman" w:cs="Times New Roman"/>
      <w:b/>
      <w:bCs/>
    </w:rPr>
  </w:style>
  <w:style w:type="paragraph" w:styleId="BodyText">
    <w:name w:val="Body Text"/>
    <w:basedOn w:val="Normal"/>
    <w:link w:val="BodyTextChar"/>
    <w:uiPriority w:val="1"/>
    <w:qFormat/>
    <w:rsid w:val="00E820FD"/>
  </w:style>
  <w:style w:type="character" w:customStyle="1" w:styleId="BodyTextChar">
    <w:name w:val="Body Text Char"/>
    <w:basedOn w:val="DefaultParagraphFont"/>
    <w:link w:val="BodyText"/>
    <w:uiPriority w:val="1"/>
    <w:rsid w:val="00E820FD"/>
    <w:rPr>
      <w:rFonts w:ascii="Times New Roman" w:eastAsia="Times New Roman" w:hAnsi="Times New Roman" w:cs="Times New Roman"/>
    </w:rPr>
  </w:style>
  <w:style w:type="paragraph" w:styleId="ListParagraph">
    <w:name w:val="List Paragraph"/>
    <w:basedOn w:val="Normal"/>
    <w:uiPriority w:val="1"/>
    <w:qFormat/>
    <w:rsid w:val="00E820FD"/>
    <w:pPr>
      <w:ind w:left="891"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ome.treasury.gov/system/files/136/SSBCI-Reporting-Guidance.pdf"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me.treasury.gov/policy-issues/small-business-programs/state-small-business-credit-initiative-ssbci/ssbci-2021" TargetMode="External"/><Relationship Id="rId11" Type="http://schemas.openxmlformats.org/officeDocument/2006/relationships/customXml" Target="../customXml/item2.xml"/><Relationship Id="rId5" Type="http://schemas.openxmlformats.org/officeDocument/2006/relationships/hyperlink" Target="https://home.treasury.gov/policy-issues/small-business-programs/state-small-business-credit-initiative-ssbci/ssbci-2021"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7D13550FB17946A5626037B44A0EE4" ma:contentTypeVersion="15" ma:contentTypeDescription="Create a new document." ma:contentTypeScope="" ma:versionID="7e5c7ef2a7ec28a83bd9b9e663351bb2">
  <xsd:schema xmlns:xsd="http://www.w3.org/2001/XMLSchema" xmlns:xs="http://www.w3.org/2001/XMLSchema" xmlns:p="http://schemas.microsoft.com/office/2006/metadata/properties" xmlns:ns2="3b41a967-f72b-436a-bd7a-2895389485f2" xmlns:ns3="7e442f8c-2b69-4ac9-9723-b3795c5148a8" targetNamespace="http://schemas.microsoft.com/office/2006/metadata/properties" ma:root="true" ma:fieldsID="1cbee22b60d4562529b0eb6f14681430" ns2:_="" ns3:_="">
    <xsd:import namespace="3b41a967-f72b-436a-bd7a-2895389485f2"/>
    <xsd:import namespace="7e442f8c-2b69-4ac9-9723-b3795c5148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1a967-f72b-436a-bd7a-2895389485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3866a5-a1f1-4687-bbc9-01e29c03519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442f8c-2b69-4ac9-9723-b3795c5148a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054935-6ecd-49d3-ba11-b0d4dddecb41}" ma:internalName="TaxCatchAll" ma:showField="CatchAllData" ma:web="7e442f8c-2b69-4ac9-9723-b3795c5148a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41a967-f72b-436a-bd7a-2895389485f2">
      <Terms xmlns="http://schemas.microsoft.com/office/infopath/2007/PartnerControls"/>
    </lcf76f155ced4ddcb4097134ff3c332f>
    <TaxCatchAll xmlns="7e442f8c-2b69-4ac9-9723-b3795c5148a8" xsi:nil="true"/>
  </documentManagement>
</p:properties>
</file>

<file path=customXml/itemProps1.xml><?xml version="1.0" encoding="utf-8"?>
<ds:datastoreItem xmlns:ds="http://schemas.openxmlformats.org/officeDocument/2006/customXml" ds:itemID="{4F1FE65D-6C4E-4747-A11E-5C9A3F77BC26}"/>
</file>

<file path=customXml/itemProps2.xml><?xml version="1.0" encoding="utf-8"?>
<ds:datastoreItem xmlns:ds="http://schemas.openxmlformats.org/officeDocument/2006/customXml" ds:itemID="{EB0AF977-D243-4263-9DA8-94AF940D1E04}"/>
</file>

<file path=customXml/itemProps3.xml><?xml version="1.0" encoding="utf-8"?>
<ds:datastoreItem xmlns:ds="http://schemas.openxmlformats.org/officeDocument/2006/customXml" ds:itemID="{5D722F40-01B4-404C-8F41-E7930A547C01}"/>
</file>

<file path=docProps/app.xml><?xml version="1.0" encoding="utf-8"?>
<Properties xmlns="http://schemas.openxmlformats.org/officeDocument/2006/extended-properties" xmlns:vt="http://schemas.openxmlformats.org/officeDocument/2006/docPropsVTypes">
  <Template>Normal.dotm</Template>
  <TotalTime>3</TotalTime>
  <Pages>3</Pages>
  <Words>1179</Words>
  <Characters>6722</Characters>
  <Application>Microsoft Office Word</Application>
  <DocSecurity>0</DocSecurity>
  <Lines>56</Lines>
  <Paragraphs>15</Paragraphs>
  <ScaleCrop>false</ScaleCrop>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Esochaghi</dc:creator>
  <cp:keywords/>
  <dc:description/>
  <cp:lastModifiedBy>Emmanuel Esochaghi</cp:lastModifiedBy>
  <cp:revision>1</cp:revision>
  <dcterms:created xsi:type="dcterms:W3CDTF">2024-09-03T14:57:00Z</dcterms:created>
  <dcterms:modified xsi:type="dcterms:W3CDTF">2024-09-03T15:00:00Z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0x010100A87D13550FB17946A5626037B44A0EE4</vt:lpwstr>
  </property>
</Properties>
</file>