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71766" w14:textId="0BAFEE6E" w:rsidR="0013746E" w:rsidRPr="00C153D5" w:rsidRDefault="00EE4FE5" w:rsidP="00EE4FE5">
      <w:pPr>
        <w:jc w:val="center"/>
        <w:rPr>
          <w:rFonts w:ascii="Arial" w:hAnsi="Arial" w:cs="Arial"/>
          <w:b/>
          <w:bCs/>
          <w:sz w:val="20"/>
          <w:szCs w:val="20"/>
        </w:rPr>
      </w:pPr>
      <w:r w:rsidRPr="00C153D5">
        <w:rPr>
          <w:rFonts w:ascii="Arial" w:hAnsi="Arial" w:cs="Arial"/>
          <w:b/>
          <w:bCs/>
          <w:sz w:val="20"/>
          <w:szCs w:val="20"/>
        </w:rPr>
        <w:t>NEW JERSEY ECONOMIC DEVELOPMENT AUTHORITY</w:t>
      </w:r>
    </w:p>
    <w:p w14:paraId="775A96AC" w14:textId="51C132E5" w:rsidR="00EE4FE5" w:rsidRPr="00C153D5" w:rsidRDefault="00EE4FE5" w:rsidP="00EE4FE5">
      <w:pPr>
        <w:spacing w:after="0" w:line="240" w:lineRule="auto"/>
        <w:jc w:val="center"/>
        <w:rPr>
          <w:rFonts w:ascii="Arial" w:hAnsi="Arial" w:cs="Arial"/>
          <w:b/>
          <w:bCs/>
          <w:sz w:val="20"/>
          <w:szCs w:val="20"/>
        </w:rPr>
      </w:pPr>
      <w:r w:rsidRPr="00C153D5">
        <w:rPr>
          <w:rFonts w:ascii="Arial" w:hAnsi="Arial" w:cs="Arial"/>
          <w:b/>
          <w:bCs/>
          <w:sz w:val="20"/>
          <w:szCs w:val="20"/>
        </w:rPr>
        <w:t>REQUEST FOR PROPOSALS</w:t>
      </w:r>
    </w:p>
    <w:p w14:paraId="7BCA6DC1" w14:textId="090F9200" w:rsidR="00EE4FE5" w:rsidRPr="00C153D5" w:rsidRDefault="00EE4FE5" w:rsidP="00EE4FE5">
      <w:pPr>
        <w:spacing w:after="0" w:line="240" w:lineRule="auto"/>
        <w:jc w:val="center"/>
        <w:rPr>
          <w:rFonts w:ascii="Arial" w:hAnsi="Arial" w:cs="Arial"/>
          <w:b/>
          <w:bCs/>
          <w:sz w:val="20"/>
          <w:szCs w:val="20"/>
        </w:rPr>
      </w:pPr>
      <w:r w:rsidRPr="00C153D5">
        <w:rPr>
          <w:rFonts w:ascii="Arial" w:hAnsi="Arial" w:cs="Arial"/>
          <w:b/>
          <w:bCs/>
          <w:sz w:val="20"/>
          <w:szCs w:val="20"/>
        </w:rPr>
        <w:t>FOR</w:t>
      </w:r>
    </w:p>
    <w:p w14:paraId="3560CC8A" w14:textId="2CB39353" w:rsidR="00EE4FE5" w:rsidRPr="00C153D5" w:rsidRDefault="005812AC" w:rsidP="00EE4FE5">
      <w:pPr>
        <w:spacing w:after="0" w:line="240" w:lineRule="auto"/>
        <w:jc w:val="center"/>
        <w:rPr>
          <w:rFonts w:ascii="Arial" w:hAnsi="Arial" w:cs="Arial"/>
          <w:b/>
          <w:bCs/>
          <w:sz w:val="20"/>
          <w:szCs w:val="20"/>
        </w:rPr>
      </w:pPr>
      <w:r w:rsidRPr="00C153D5">
        <w:rPr>
          <w:rFonts w:ascii="Arial" w:hAnsi="Arial" w:cs="Arial"/>
          <w:b/>
          <w:bCs/>
          <w:sz w:val="20"/>
          <w:szCs w:val="20"/>
        </w:rPr>
        <w:t>UNIVERSITY HOSPITAL REAL ESTATE FEASIBILITY STUDY FOR SELECT PARCELS</w:t>
      </w:r>
    </w:p>
    <w:p w14:paraId="122D061E" w14:textId="3AC35FD0" w:rsidR="00EE4FE5" w:rsidRPr="00C153D5" w:rsidRDefault="00EE4FE5" w:rsidP="00EE4FE5">
      <w:pPr>
        <w:jc w:val="center"/>
        <w:rPr>
          <w:rFonts w:ascii="Arial" w:hAnsi="Arial" w:cs="Arial"/>
          <w:b/>
          <w:bCs/>
          <w:sz w:val="20"/>
          <w:szCs w:val="20"/>
        </w:rPr>
      </w:pPr>
      <w:r w:rsidRPr="00C153D5">
        <w:rPr>
          <w:rFonts w:ascii="Arial" w:hAnsi="Arial" w:cs="Arial"/>
          <w:b/>
          <w:bCs/>
          <w:sz w:val="20"/>
          <w:szCs w:val="20"/>
        </w:rPr>
        <w:t>(Reference RFP</w:t>
      </w:r>
      <w:r w:rsidR="005812AC" w:rsidRPr="00C153D5">
        <w:rPr>
          <w:rFonts w:ascii="Arial" w:hAnsi="Arial" w:cs="Arial"/>
          <w:b/>
          <w:bCs/>
          <w:sz w:val="20"/>
          <w:szCs w:val="20"/>
        </w:rPr>
        <w:t xml:space="preserve"> #2023-RERFP-160</w:t>
      </w:r>
      <w:r w:rsidRPr="00C153D5">
        <w:rPr>
          <w:rFonts w:ascii="Arial" w:hAnsi="Arial" w:cs="Arial"/>
          <w:b/>
          <w:bCs/>
          <w:sz w:val="20"/>
          <w:szCs w:val="20"/>
        </w:rPr>
        <w:t>)</w:t>
      </w:r>
    </w:p>
    <w:p w14:paraId="6FD91EC5" w14:textId="1317BAAA" w:rsidR="00A80AAC" w:rsidRPr="00C153D5" w:rsidRDefault="00EE4FE5" w:rsidP="00A80AAC">
      <w:pPr>
        <w:jc w:val="center"/>
        <w:rPr>
          <w:rFonts w:ascii="Arial" w:hAnsi="Arial" w:cs="Arial"/>
          <w:b/>
          <w:bCs/>
          <w:sz w:val="20"/>
          <w:szCs w:val="20"/>
          <w:shd w:val="clear" w:color="auto" w:fill="92D050"/>
        </w:rPr>
      </w:pPr>
      <w:r w:rsidRPr="00C153D5">
        <w:rPr>
          <w:rFonts w:ascii="Arial" w:hAnsi="Arial" w:cs="Arial"/>
          <w:b/>
          <w:bCs/>
          <w:sz w:val="20"/>
          <w:szCs w:val="20"/>
        </w:rPr>
        <w:t>ADDENDUM</w:t>
      </w:r>
      <w:r w:rsidR="005812AC" w:rsidRPr="00C153D5">
        <w:rPr>
          <w:rFonts w:ascii="Arial" w:hAnsi="Arial" w:cs="Arial"/>
          <w:b/>
          <w:bCs/>
          <w:sz w:val="20"/>
          <w:szCs w:val="20"/>
        </w:rPr>
        <w:t xml:space="preserve"> #1</w:t>
      </w:r>
    </w:p>
    <w:p w14:paraId="26370C00" w14:textId="5D2D3C50" w:rsidR="00A80AAC" w:rsidRPr="00C003BE" w:rsidRDefault="00A80AAC" w:rsidP="00A80AAC">
      <w:pPr>
        <w:rPr>
          <w:rFonts w:ascii="Arial" w:hAnsi="Arial" w:cs="Arial"/>
          <w:sz w:val="20"/>
          <w:szCs w:val="20"/>
        </w:rPr>
      </w:pPr>
      <w:r w:rsidRPr="00C003BE">
        <w:rPr>
          <w:rFonts w:ascii="Arial" w:hAnsi="Arial" w:cs="Arial"/>
          <w:sz w:val="20"/>
          <w:szCs w:val="20"/>
        </w:rPr>
        <w:t>The following constitutes an Addendum, which can be a Clarification and/or Modification to the above-referenced solicitation.  This Addendum is divided as follows:</w:t>
      </w:r>
    </w:p>
    <w:p w14:paraId="2B6FB124" w14:textId="532C36AF" w:rsidR="00A80AAC" w:rsidRPr="00C003BE" w:rsidRDefault="00A80AAC" w:rsidP="00A80AAC">
      <w:pPr>
        <w:pStyle w:val="ListParagraph"/>
        <w:numPr>
          <w:ilvl w:val="0"/>
          <w:numId w:val="1"/>
        </w:numPr>
        <w:rPr>
          <w:rFonts w:ascii="Arial" w:hAnsi="Arial" w:cs="Arial"/>
          <w:sz w:val="20"/>
          <w:szCs w:val="20"/>
        </w:rPr>
      </w:pPr>
      <w:r w:rsidRPr="00C003BE">
        <w:rPr>
          <w:rFonts w:ascii="Arial" w:hAnsi="Arial" w:cs="Arial"/>
          <w:sz w:val="20"/>
          <w:szCs w:val="20"/>
        </w:rPr>
        <w:t>Part 1:  Answers to Questions Submitted</w:t>
      </w:r>
    </w:p>
    <w:p w14:paraId="623AB7EE" w14:textId="67595BDA" w:rsidR="00A80AAC" w:rsidRPr="00C003BE" w:rsidRDefault="00A80AAC" w:rsidP="00A80AAC">
      <w:pPr>
        <w:pStyle w:val="ListParagraph"/>
        <w:numPr>
          <w:ilvl w:val="0"/>
          <w:numId w:val="1"/>
        </w:numPr>
        <w:rPr>
          <w:rFonts w:ascii="Arial" w:hAnsi="Arial" w:cs="Arial"/>
          <w:sz w:val="20"/>
          <w:szCs w:val="20"/>
        </w:rPr>
      </w:pPr>
      <w:r w:rsidRPr="00C003BE">
        <w:rPr>
          <w:rFonts w:ascii="Arial" w:hAnsi="Arial" w:cs="Arial"/>
          <w:sz w:val="20"/>
          <w:szCs w:val="20"/>
        </w:rPr>
        <w:t>Part 2:  Additions, Deletions, Clarifications and Modifications to the RFP</w:t>
      </w:r>
    </w:p>
    <w:tbl>
      <w:tblPr>
        <w:tblStyle w:val="TableGrid"/>
        <w:tblW w:w="0" w:type="auto"/>
        <w:tblLook w:val="04A0" w:firstRow="1" w:lastRow="0" w:firstColumn="1" w:lastColumn="0" w:noHBand="0" w:noVBand="1"/>
      </w:tblPr>
      <w:tblGrid>
        <w:gridCol w:w="625"/>
        <w:gridCol w:w="5608"/>
        <w:gridCol w:w="3117"/>
      </w:tblGrid>
      <w:tr w:rsidR="00A80AAC" w:rsidRPr="00C003BE" w14:paraId="59EA2D84" w14:textId="77777777" w:rsidTr="002104FE">
        <w:tc>
          <w:tcPr>
            <w:tcW w:w="9350" w:type="dxa"/>
            <w:gridSpan w:val="3"/>
            <w:shd w:val="clear" w:color="auto" w:fill="D9E2F3" w:themeFill="accent1" w:themeFillTint="33"/>
          </w:tcPr>
          <w:p w14:paraId="52CB3CD9" w14:textId="1B13543B" w:rsidR="00A80AAC" w:rsidRPr="00C153D5" w:rsidRDefault="00A80AAC" w:rsidP="00A80AAC">
            <w:pPr>
              <w:spacing w:before="120" w:after="120"/>
              <w:rPr>
                <w:rFonts w:ascii="Arial" w:hAnsi="Arial" w:cs="Arial"/>
                <w:b/>
                <w:bCs/>
                <w:sz w:val="20"/>
                <w:szCs w:val="20"/>
              </w:rPr>
            </w:pPr>
            <w:r w:rsidRPr="00C153D5">
              <w:rPr>
                <w:rFonts w:ascii="Arial" w:hAnsi="Arial" w:cs="Arial"/>
                <w:b/>
                <w:bCs/>
                <w:sz w:val="20"/>
                <w:szCs w:val="20"/>
              </w:rPr>
              <w:t>Part 1:  Answers to Questions Submitted</w:t>
            </w:r>
          </w:p>
        </w:tc>
      </w:tr>
      <w:tr w:rsidR="00A80AAC" w:rsidRPr="00C003BE" w14:paraId="070C5125" w14:textId="77777777" w:rsidTr="00000A0C">
        <w:tc>
          <w:tcPr>
            <w:tcW w:w="625" w:type="dxa"/>
          </w:tcPr>
          <w:p w14:paraId="07E1153F" w14:textId="68F06AC8" w:rsidR="00A80AAC" w:rsidRPr="00C153D5" w:rsidRDefault="00A80AAC" w:rsidP="00A80AAC">
            <w:pPr>
              <w:spacing w:before="120" w:after="120"/>
              <w:rPr>
                <w:rFonts w:ascii="Arial" w:hAnsi="Arial" w:cs="Arial"/>
                <w:sz w:val="20"/>
                <w:szCs w:val="20"/>
              </w:rPr>
            </w:pPr>
            <w:r w:rsidRPr="00C153D5">
              <w:rPr>
                <w:rFonts w:ascii="Arial" w:hAnsi="Arial" w:cs="Arial"/>
                <w:sz w:val="20"/>
                <w:szCs w:val="20"/>
              </w:rPr>
              <w:t>No.</w:t>
            </w:r>
          </w:p>
        </w:tc>
        <w:tc>
          <w:tcPr>
            <w:tcW w:w="5608" w:type="dxa"/>
          </w:tcPr>
          <w:p w14:paraId="60F8C1C4" w14:textId="77E4F2FC" w:rsidR="00A80AAC" w:rsidRPr="00C153D5" w:rsidRDefault="00A80AAC" w:rsidP="00A80AAC">
            <w:pPr>
              <w:spacing w:before="120" w:after="120"/>
              <w:rPr>
                <w:rFonts w:ascii="Arial" w:hAnsi="Arial" w:cs="Arial"/>
                <w:sz w:val="20"/>
                <w:szCs w:val="20"/>
              </w:rPr>
            </w:pPr>
            <w:r w:rsidRPr="00C153D5">
              <w:rPr>
                <w:rFonts w:ascii="Arial" w:hAnsi="Arial" w:cs="Arial"/>
                <w:sz w:val="20"/>
                <w:szCs w:val="20"/>
              </w:rPr>
              <w:t>Question</w:t>
            </w:r>
          </w:p>
        </w:tc>
        <w:tc>
          <w:tcPr>
            <w:tcW w:w="3117" w:type="dxa"/>
          </w:tcPr>
          <w:p w14:paraId="422E58AA" w14:textId="5966A112" w:rsidR="00A80AAC" w:rsidRPr="00C153D5" w:rsidRDefault="00A80AAC" w:rsidP="00A80AAC">
            <w:pPr>
              <w:spacing w:before="120" w:after="120"/>
              <w:rPr>
                <w:rFonts w:ascii="Arial" w:hAnsi="Arial" w:cs="Arial"/>
                <w:sz w:val="20"/>
                <w:szCs w:val="20"/>
              </w:rPr>
            </w:pPr>
            <w:r w:rsidRPr="00C153D5">
              <w:rPr>
                <w:rFonts w:ascii="Arial" w:hAnsi="Arial" w:cs="Arial"/>
                <w:sz w:val="20"/>
                <w:szCs w:val="20"/>
              </w:rPr>
              <w:t>Answer</w:t>
            </w:r>
          </w:p>
        </w:tc>
      </w:tr>
      <w:tr w:rsidR="00A80AAC" w:rsidRPr="00C003BE" w14:paraId="55E9B6C9" w14:textId="77777777" w:rsidTr="00000A0C">
        <w:tc>
          <w:tcPr>
            <w:tcW w:w="625" w:type="dxa"/>
          </w:tcPr>
          <w:p w14:paraId="7E91B4AE" w14:textId="7C7E4555" w:rsidR="00A80AAC" w:rsidRPr="00C003BE" w:rsidRDefault="00000A0C" w:rsidP="00A80AAC">
            <w:pPr>
              <w:rPr>
                <w:rFonts w:ascii="Arial" w:hAnsi="Arial" w:cs="Arial"/>
                <w:sz w:val="20"/>
                <w:szCs w:val="20"/>
              </w:rPr>
            </w:pPr>
            <w:r w:rsidRPr="00C003BE">
              <w:rPr>
                <w:rFonts w:ascii="Arial" w:hAnsi="Arial" w:cs="Arial"/>
                <w:sz w:val="20"/>
                <w:szCs w:val="20"/>
              </w:rPr>
              <w:t>1.</w:t>
            </w:r>
          </w:p>
        </w:tc>
        <w:tc>
          <w:tcPr>
            <w:tcW w:w="5608" w:type="dxa"/>
          </w:tcPr>
          <w:p w14:paraId="08CB40B1" w14:textId="77777777" w:rsidR="0096080D" w:rsidRPr="00C003BE" w:rsidRDefault="0096080D" w:rsidP="0096080D">
            <w:pPr>
              <w:spacing w:line="252" w:lineRule="auto"/>
              <w:rPr>
                <w:rFonts w:ascii="Arial" w:eastAsia="Times New Roman" w:hAnsi="Arial" w:cs="Arial"/>
                <w:sz w:val="20"/>
                <w:szCs w:val="20"/>
              </w:rPr>
            </w:pPr>
            <w:r w:rsidRPr="00C003BE">
              <w:rPr>
                <w:rFonts w:ascii="Arial" w:eastAsia="Times New Roman" w:hAnsi="Arial" w:cs="Arial"/>
                <w:sz w:val="20"/>
                <w:szCs w:val="20"/>
              </w:rPr>
              <w:t xml:space="preserve">Page 4, section 1.1:  What is the due date for the final version of all deliverables?  The RFP indicates different due dates on page 4 (120 days) and page 23 (60 days).  </w:t>
            </w:r>
          </w:p>
          <w:p w14:paraId="36CD78EA" w14:textId="1060C9BA" w:rsidR="00212C38" w:rsidRPr="00C003BE" w:rsidRDefault="00212C38" w:rsidP="00A80AAC">
            <w:pPr>
              <w:rPr>
                <w:rFonts w:ascii="Arial" w:hAnsi="Arial" w:cs="Arial"/>
                <w:sz w:val="20"/>
                <w:szCs w:val="20"/>
              </w:rPr>
            </w:pPr>
          </w:p>
        </w:tc>
        <w:tc>
          <w:tcPr>
            <w:tcW w:w="3117" w:type="dxa"/>
          </w:tcPr>
          <w:p w14:paraId="03A46CAC" w14:textId="1D454B9C" w:rsidR="009A5DD5" w:rsidRPr="00C003BE" w:rsidRDefault="009A5DD5" w:rsidP="00677314">
            <w:pPr>
              <w:rPr>
                <w:rFonts w:ascii="Arial" w:hAnsi="Arial" w:cs="Arial"/>
                <w:sz w:val="20"/>
                <w:szCs w:val="20"/>
              </w:rPr>
            </w:pPr>
            <w:r w:rsidRPr="00C003BE">
              <w:rPr>
                <w:rFonts w:ascii="Arial" w:hAnsi="Arial" w:cs="Arial"/>
                <w:sz w:val="20"/>
                <w:szCs w:val="20"/>
              </w:rPr>
              <w:t xml:space="preserve">Page 4 is correct. The due date for the final version of all deliverables in 120 days. Please see the modification to section 4.2.1 II. C. </w:t>
            </w:r>
          </w:p>
        </w:tc>
      </w:tr>
      <w:tr w:rsidR="00636CCD" w:rsidRPr="00C003BE" w14:paraId="31F2A585" w14:textId="77777777" w:rsidTr="00000A0C">
        <w:tc>
          <w:tcPr>
            <w:tcW w:w="625" w:type="dxa"/>
          </w:tcPr>
          <w:p w14:paraId="6BB97111" w14:textId="35AFCE48" w:rsidR="00636CCD" w:rsidRPr="00C003BE" w:rsidRDefault="00000A0C" w:rsidP="00A80AAC">
            <w:pPr>
              <w:rPr>
                <w:rFonts w:ascii="Arial" w:hAnsi="Arial" w:cs="Arial"/>
                <w:sz w:val="20"/>
                <w:szCs w:val="20"/>
              </w:rPr>
            </w:pPr>
            <w:r w:rsidRPr="00C003BE">
              <w:rPr>
                <w:rFonts w:ascii="Arial" w:hAnsi="Arial" w:cs="Arial"/>
                <w:sz w:val="20"/>
                <w:szCs w:val="20"/>
              </w:rPr>
              <w:t>2.</w:t>
            </w:r>
          </w:p>
        </w:tc>
        <w:tc>
          <w:tcPr>
            <w:tcW w:w="5608" w:type="dxa"/>
          </w:tcPr>
          <w:p w14:paraId="2F97DC93" w14:textId="77777777" w:rsidR="0096080D" w:rsidRPr="00C003BE" w:rsidRDefault="0096080D" w:rsidP="0096080D">
            <w:pPr>
              <w:spacing w:line="252" w:lineRule="auto"/>
              <w:rPr>
                <w:rFonts w:ascii="Arial" w:eastAsia="Times New Roman" w:hAnsi="Arial" w:cs="Arial"/>
                <w:sz w:val="20"/>
                <w:szCs w:val="20"/>
              </w:rPr>
            </w:pPr>
            <w:r w:rsidRPr="00C003BE">
              <w:rPr>
                <w:rFonts w:ascii="Arial" w:eastAsia="Times New Roman" w:hAnsi="Arial" w:cs="Arial"/>
                <w:sz w:val="20"/>
                <w:szCs w:val="20"/>
              </w:rPr>
              <w:t>Page 18, section 3.5:  Should the Financial Analysis of the Massing/Development Plans consider the cost of demolition of the existing structures and any potential environmental remediation?</w:t>
            </w:r>
          </w:p>
          <w:p w14:paraId="44338466" w14:textId="473FE7AD" w:rsidR="00AA7C90" w:rsidRPr="00C003BE" w:rsidRDefault="00AA7C90" w:rsidP="00A80AAC">
            <w:pPr>
              <w:rPr>
                <w:rFonts w:ascii="Arial" w:hAnsi="Arial" w:cs="Arial"/>
                <w:i/>
                <w:iCs/>
                <w:sz w:val="20"/>
                <w:szCs w:val="20"/>
              </w:rPr>
            </w:pPr>
          </w:p>
        </w:tc>
        <w:tc>
          <w:tcPr>
            <w:tcW w:w="3117" w:type="dxa"/>
          </w:tcPr>
          <w:p w14:paraId="076B1433" w14:textId="4C3D33F5" w:rsidR="002D73A9" w:rsidRPr="00C003BE" w:rsidRDefault="00E54708" w:rsidP="00677314">
            <w:pPr>
              <w:rPr>
                <w:rFonts w:ascii="Arial" w:hAnsi="Arial" w:cs="Arial"/>
                <w:sz w:val="20"/>
                <w:szCs w:val="20"/>
              </w:rPr>
            </w:pPr>
            <w:r w:rsidRPr="00C003BE">
              <w:rPr>
                <w:rFonts w:ascii="Arial" w:hAnsi="Arial" w:cs="Arial"/>
                <w:sz w:val="20"/>
                <w:szCs w:val="20"/>
              </w:rPr>
              <w:t>The financial analysis should include the costs to make the parcels available for development. An environmental allowance should be included, without knowing the exact cost of the contamination</w:t>
            </w:r>
            <w:r w:rsidR="008438F3">
              <w:rPr>
                <w:rFonts w:ascii="Arial" w:hAnsi="Arial" w:cs="Arial"/>
                <w:sz w:val="20"/>
                <w:szCs w:val="20"/>
              </w:rPr>
              <w:t xml:space="preserve"> that may be present on the property.</w:t>
            </w:r>
          </w:p>
        </w:tc>
      </w:tr>
      <w:tr w:rsidR="00636CCD" w:rsidRPr="00C003BE" w14:paraId="7F43F4D6" w14:textId="77777777" w:rsidTr="00000A0C">
        <w:tc>
          <w:tcPr>
            <w:tcW w:w="625" w:type="dxa"/>
          </w:tcPr>
          <w:p w14:paraId="32B0E6DF" w14:textId="158AC64F" w:rsidR="00636CCD" w:rsidRPr="00C003BE" w:rsidRDefault="00000A0C" w:rsidP="00A80AAC">
            <w:pPr>
              <w:rPr>
                <w:rFonts w:ascii="Arial" w:hAnsi="Arial" w:cs="Arial"/>
                <w:sz w:val="20"/>
                <w:szCs w:val="20"/>
              </w:rPr>
            </w:pPr>
            <w:r w:rsidRPr="00C003BE">
              <w:rPr>
                <w:rFonts w:ascii="Arial" w:hAnsi="Arial" w:cs="Arial"/>
                <w:sz w:val="20"/>
                <w:szCs w:val="20"/>
              </w:rPr>
              <w:t>3.</w:t>
            </w:r>
          </w:p>
        </w:tc>
        <w:tc>
          <w:tcPr>
            <w:tcW w:w="5608" w:type="dxa"/>
          </w:tcPr>
          <w:p w14:paraId="63BFC4F1" w14:textId="77777777" w:rsidR="0096080D" w:rsidRPr="00C003BE" w:rsidRDefault="0096080D" w:rsidP="0096080D">
            <w:pPr>
              <w:spacing w:line="252" w:lineRule="auto"/>
              <w:rPr>
                <w:rFonts w:ascii="Arial" w:eastAsia="Times New Roman" w:hAnsi="Arial" w:cs="Arial"/>
                <w:sz w:val="20"/>
                <w:szCs w:val="20"/>
              </w:rPr>
            </w:pPr>
            <w:r w:rsidRPr="00C003BE">
              <w:rPr>
                <w:rFonts w:ascii="Arial" w:eastAsia="Times New Roman" w:hAnsi="Arial" w:cs="Arial"/>
                <w:sz w:val="20"/>
                <w:szCs w:val="20"/>
              </w:rPr>
              <w:t>Page 18, section 3.5:  If existing environmental contamination is to be considered, what current data is available pertaining to that contamination?</w:t>
            </w:r>
          </w:p>
          <w:p w14:paraId="4795BC5F" w14:textId="31BA3A37" w:rsidR="00636CCD" w:rsidRPr="00C003BE" w:rsidRDefault="00636CCD" w:rsidP="00A80AAC">
            <w:pPr>
              <w:rPr>
                <w:rFonts w:ascii="Arial" w:hAnsi="Arial" w:cs="Arial"/>
                <w:i/>
                <w:iCs/>
                <w:sz w:val="20"/>
                <w:szCs w:val="20"/>
              </w:rPr>
            </w:pPr>
          </w:p>
        </w:tc>
        <w:tc>
          <w:tcPr>
            <w:tcW w:w="3117" w:type="dxa"/>
          </w:tcPr>
          <w:p w14:paraId="56686DAA" w14:textId="5C15815C" w:rsidR="00E54708" w:rsidRPr="00C003BE" w:rsidRDefault="00C501EA">
            <w:pPr>
              <w:rPr>
                <w:rFonts w:ascii="Arial" w:hAnsi="Arial" w:cs="Arial"/>
                <w:sz w:val="20"/>
                <w:szCs w:val="20"/>
              </w:rPr>
            </w:pPr>
            <w:r>
              <w:rPr>
                <w:rFonts w:ascii="Arial" w:hAnsi="Arial" w:cs="Arial"/>
                <w:sz w:val="20"/>
                <w:szCs w:val="20"/>
              </w:rPr>
              <w:t xml:space="preserve">UH </w:t>
            </w:r>
            <w:r w:rsidR="00965437">
              <w:rPr>
                <w:rFonts w:ascii="Arial" w:hAnsi="Arial" w:cs="Arial"/>
                <w:sz w:val="20"/>
                <w:szCs w:val="20"/>
              </w:rPr>
              <w:t>and RU do</w:t>
            </w:r>
            <w:r>
              <w:rPr>
                <w:rFonts w:ascii="Arial" w:hAnsi="Arial" w:cs="Arial"/>
                <w:sz w:val="20"/>
                <w:szCs w:val="20"/>
              </w:rPr>
              <w:t xml:space="preserve"> not have </w:t>
            </w:r>
            <w:r w:rsidR="00904DA3">
              <w:rPr>
                <w:rFonts w:ascii="Arial" w:hAnsi="Arial" w:cs="Arial"/>
                <w:sz w:val="20"/>
                <w:szCs w:val="20"/>
              </w:rPr>
              <w:t xml:space="preserve">a formal </w:t>
            </w:r>
            <w:r>
              <w:rPr>
                <w:rFonts w:ascii="Arial" w:hAnsi="Arial" w:cs="Arial"/>
                <w:sz w:val="20"/>
                <w:szCs w:val="20"/>
              </w:rPr>
              <w:t xml:space="preserve">environmental </w:t>
            </w:r>
            <w:r w:rsidR="00904DA3">
              <w:rPr>
                <w:rFonts w:ascii="Arial" w:hAnsi="Arial" w:cs="Arial"/>
                <w:sz w:val="20"/>
                <w:szCs w:val="20"/>
              </w:rPr>
              <w:t>assessment/study</w:t>
            </w:r>
            <w:r>
              <w:rPr>
                <w:rFonts w:ascii="Arial" w:hAnsi="Arial" w:cs="Arial"/>
                <w:sz w:val="20"/>
                <w:szCs w:val="20"/>
              </w:rPr>
              <w:t xml:space="preserve"> about the property.  A</w:t>
            </w:r>
            <w:r w:rsidR="00965437">
              <w:rPr>
                <w:rFonts w:ascii="Arial" w:hAnsi="Arial" w:cs="Arial"/>
                <w:sz w:val="20"/>
                <w:szCs w:val="20"/>
              </w:rPr>
              <w:t xml:space="preserve">n environmental assessment </w:t>
            </w:r>
            <w:r>
              <w:rPr>
                <w:rFonts w:ascii="Arial" w:hAnsi="Arial" w:cs="Arial"/>
                <w:sz w:val="20"/>
                <w:szCs w:val="20"/>
              </w:rPr>
              <w:t>will eventually be required</w:t>
            </w:r>
            <w:r w:rsidR="00904DA3">
              <w:rPr>
                <w:rFonts w:ascii="Arial" w:hAnsi="Arial" w:cs="Arial"/>
                <w:sz w:val="20"/>
                <w:szCs w:val="20"/>
              </w:rPr>
              <w:t>,</w:t>
            </w:r>
            <w:r>
              <w:rPr>
                <w:rFonts w:ascii="Arial" w:hAnsi="Arial" w:cs="Arial"/>
                <w:sz w:val="20"/>
                <w:szCs w:val="20"/>
              </w:rPr>
              <w:t xml:space="preserve"> but is not part of this SOW.</w:t>
            </w:r>
            <w:r w:rsidR="00904DA3">
              <w:rPr>
                <w:rFonts w:ascii="Arial" w:hAnsi="Arial" w:cs="Arial"/>
                <w:sz w:val="20"/>
                <w:szCs w:val="20"/>
              </w:rPr>
              <w:t xml:space="preserve">  That said, we understand that the debris from the demolished properties that were previously located on this campus in the 1960s remain under the surface and should be a consideration.</w:t>
            </w:r>
          </w:p>
        </w:tc>
      </w:tr>
      <w:tr w:rsidR="00636CCD" w:rsidRPr="00C003BE" w14:paraId="06A8CDB0" w14:textId="77777777" w:rsidTr="00000A0C">
        <w:tc>
          <w:tcPr>
            <w:tcW w:w="625" w:type="dxa"/>
          </w:tcPr>
          <w:p w14:paraId="62F3B46D" w14:textId="2FD9854E" w:rsidR="00636CCD" w:rsidRPr="00C003BE" w:rsidRDefault="00000A0C" w:rsidP="00A80AAC">
            <w:pPr>
              <w:rPr>
                <w:rFonts w:ascii="Arial" w:hAnsi="Arial" w:cs="Arial"/>
                <w:sz w:val="20"/>
                <w:szCs w:val="20"/>
              </w:rPr>
            </w:pPr>
            <w:r w:rsidRPr="00C003BE">
              <w:rPr>
                <w:rFonts w:ascii="Arial" w:hAnsi="Arial" w:cs="Arial"/>
                <w:sz w:val="20"/>
                <w:szCs w:val="20"/>
              </w:rPr>
              <w:t>4.</w:t>
            </w:r>
          </w:p>
        </w:tc>
        <w:tc>
          <w:tcPr>
            <w:tcW w:w="5608" w:type="dxa"/>
          </w:tcPr>
          <w:p w14:paraId="44DD05A5" w14:textId="77777777" w:rsidR="0096080D" w:rsidRPr="00C003BE" w:rsidRDefault="0096080D" w:rsidP="0096080D">
            <w:pPr>
              <w:spacing w:line="252" w:lineRule="auto"/>
              <w:rPr>
                <w:rFonts w:ascii="Arial" w:eastAsia="Times New Roman" w:hAnsi="Arial" w:cs="Arial"/>
                <w:sz w:val="20"/>
                <w:szCs w:val="20"/>
              </w:rPr>
            </w:pPr>
            <w:r w:rsidRPr="00C003BE">
              <w:rPr>
                <w:rFonts w:ascii="Arial" w:eastAsia="Times New Roman" w:hAnsi="Arial" w:cs="Arial"/>
                <w:sz w:val="20"/>
                <w:szCs w:val="20"/>
              </w:rPr>
              <w:t>Page 18, section 3.5:  Is there a plan for relocating the current users of the existing buildings on the UH parcels?  Will the cost of relocating those tenants need to be estimated and included in the development budget?</w:t>
            </w:r>
          </w:p>
          <w:p w14:paraId="3A5DAEF0" w14:textId="5D77DAEE" w:rsidR="00636CCD" w:rsidRPr="00C003BE" w:rsidRDefault="00636CCD" w:rsidP="00A80AAC">
            <w:pPr>
              <w:rPr>
                <w:rFonts w:ascii="Arial" w:hAnsi="Arial" w:cs="Arial"/>
                <w:i/>
                <w:iCs/>
                <w:sz w:val="20"/>
                <w:szCs w:val="20"/>
              </w:rPr>
            </w:pPr>
          </w:p>
        </w:tc>
        <w:tc>
          <w:tcPr>
            <w:tcW w:w="3117" w:type="dxa"/>
          </w:tcPr>
          <w:p w14:paraId="370CF1E6" w14:textId="0C185BA5" w:rsidR="00F26C75" w:rsidRPr="00C003BE" w:rsidRDefault="00E54708" w:rsidP="00677314">
            <w:pPr>
              <w:rPr>
                <w:rFonts w:ascii="Arial" w:hAnsi="Arial" w:cs="Arial"/>
                <w:sz w:val="20"/>
                <w:szCs w:val="20"/>
              </w:rPr>
            </w:pPr>
            <w:r w:rsidRPr="00C003BE">
              <w:rPr>
                <w:rFonts w:ascii="Arial" w:hAnsi="Arial" w:cs="Arial"/>
                <w:sz w:val="20"/>
                <w:szCs w:val="20"/>
              </w:rPr>
              <w:t>An estimate to relocate the existing users should be included in the development budget.</w:t>
            </w:r>
            <w:r w:rsidR="001A0123">
              <w:rPr>
                <w:rFonts w:ascii="Arial" w:hAnsi="Arial" w:cs="Arial"/>
                <w:sz w:val="20"/>
                <w:szCs w:val="20"/>
              </w:rPr>
              <w:t xml:space="preserve">  Note that the existing buildings include some </w:t>
            </w:r>
            <w:r w:rsidR="00F45217">
              <w:rPr>
                <w:rFonts w:ascii="Arial" w:hAnsi="Arial" w:cs="Arial"/>
                <w:sz w:val="20"/>
                <w:szCs w:val="20"/>
              </w:rPr>
              <w:t xml:space="preserve">spaces </w:t>
            </w:r>
            <w:r w:rsidR="001A0123">
              <w:rPr>
                <w:rFonts w:ascii="Arial" w:hAnsi="Arial" w:cs="Arial"/>
                <w:sz w:val="20"/>
                <w:szCs w:val="20"/>
              </w:rPr>
              <w:t xml:space="preserve">that are leased by the State to Rutgers, </w:t>
            </w:r>
            <w:r w:rsidR="00904DA3">
              <w:rPr>
                <w:rFonts w:ascii="Arial" w:hAnsi="Arial" w:cs="Arial"/>
                <w:sz w:val="20"/>
                <w:szCs w:val="20"/>
              </w:rPr>
              <w:t>in addition to</w:t>
            </w:r>
            <w:r w:rsidR="001A0123">
              <w:rPr>
                <w:rFonts w:ascii="Arial" w:hAnsi="Arial" w:cs="Arial"/>
                <w:sz w:val="20"/>
                <w:szCs w:val="20"/>
              </w:rPr>
              <w:t xml:space="preserve"> UH, and contain </w:t>
            </w:r>
            <w:r w:rsidR="00D42AEB">
              <w:rPr>
                <w:rFonts w:ascii="Arial" w:hAnsi="Arial" w:cs="Arial"/>
                <w:sz w:val="20"/>
                <w:szCs w:val="20"/>
              </w:rPr>
              <w:t>Rutgers’s</w:t>
            </w:r>
            <w:r w:rsidR="001A0123">
              <w:rPr>
                <w:rFonts w:ascii="Arial" w:hAnsi="Arial" w:cs="Arial"/>
                <w:sz w:val="20"/>
                <w:szCs w:val="20"/>
              </w:rPr>
              <w:t xml:space="preserve"> occupants.  They should also be considered when necessary for relocation. </w:t>
            </w:r>
            <w:r w:rsidR="00F45217">
              <w:rPr>
                <w:rFonts w:ascii="Arial" w:hAnsi="Arial" w:cs="Arial"/>
                <w:sz w:val="20"/>
                <w:szCs w:val="20"/>
              </w:rPr>
              <w:t xml:space="preserve">The awardee should obtain </w:t>
            </w:r>
            <w:r w:rsidR="00F45217">
              <w:rPr>
                <w:rFonts w:ascii="Arial" w:hAnsi="Arial" w:cs="Arial"/>
                <w:sz w:val="20"/>
                <w:szCs w:val="20"/>
              </w:rPr>
              <w:lastRenderedPageBreak/>
              <w:t xml:space="preserve">these details from </w:t>
            </w:r>
            <w:r w:rsidR="001A0123">
              <w:rPr>
                <w:rFonts w:ascii="Arial" w:hAnsi="Arial" w:cs="Arial"/>
                <w:sz w:val="20"/>
                <w:szCs w:val="20"/>
              </w:rPr>
              <w:t xml:space="preserve">UH and Rutgers </w:t>
            </w:r>
            <w:r w:rsidR="00F45217">
              <w:rPr>
                <w:rFonts w:ascii="Arial" w:hAnsi="Arial" w:cs="Arial"/>
                <w:sz w:val="20"/>
                <w:szCs w:val="20"/>
              </w:rPr>
              <w:t>following award</w:t>
            </w:r>
            <w:r w:rsidR="001A0123">
              <w:rPr>
                <w:rFonts w:ascii="Arial" w:hAnsi="Arial" w:cs="Arial"/>
                <w:sz w:val="20"/>
                <w:szCs w:val="20"/>
              </w:rPr>
              <w:t>.</w:t>
            </w:r>
          </w:p>
        </w:tc>
      </w:tr>
      <w:tr w:rsidR="00D357FB" w:rsidRPr="00C003BE" w14:paraId="3F78605C" w14:textId="77777777" w:rsidTr="00000A0C">
        <w:tc>
          <w:tcPr>
            <w:tcW w:w="625" w:type="dxa"/>
          </w:tcPr>
          <w:p w14:paraId="489CA83A" w14:textId="3C7BF176" w:rsidR="00D357FB" w:rsidRPr="00C003BE" w:rsidRDefault="00D357FB" w:rsidP="00A80AAC">
            <w:pPr>
              <w:rPr>
                <w:rFonts w:ascii="Arial" w:hAnsi="Arial" w:cs="Arial"/>
                <w:sz w:val="20"/>
                <w:szCs w:val="20"/>
              </w:rPr>
            </w:pPr>
            <w:r w:rsidRPr="00C003BE">
              <w:rPr>
                <w:rFonts w:ascii="Arial" w:hAnsi="Arial" w:cs="Arial"/>
                <w:sz w:val="20"/>
                <w:szCs w:val="20"/>
              </w:rPr>
              <w:lastRenderedPageBreak/>
              <w:t>5.</w:t>
            </w:r>
          </w:p>
        </w:tc>
        <w:tc>
          <w:tcPr>
            <w:tcW w:w="5608" w:type="dxa"/>
          </w:tcPr>
          <w:p w14:paraId="3CEE8DBD" w14:textId="7AF25E7C" w:rsidR="00D357FB" w:rsidRPr="00C003BE" w:rsidRDefault="0096080D" w:rsidP="00A80AAC">
            <w:pPr>
              <w:rPr>
                <w:rFonts w:ascii="Arial" w:hAnsi="Arial" w:cs="Arial"/>
                <w:i/>
                <w:iCs/>
                <w:sz w:val="20"/>
                <w:szCs w:val="20"/>
              </w:rPr>
            </w:pPr>
            <w:r w:rsidRPr="00C003BE">
              <w:rPr>
                <w:rFonts w:ascii="Arial" w:eastAsia="Times New Roman" w:hAnsi="Arial" w:cs="Arial"/>
                <w:sz w:val="20"/>
                <w:szCs w:val="20"/>
              </w:rPr>
              <w:t>Page 19, section 3.6:  IMPLAN is our preferred input-output model for economic impacts.  Is that an acceptable model for the Authority?  Or would you prefer RIMS II multipliers or another commercial model?</w:t>
            </w:r>
          </w:p>
        </w:tc>
        <w:tc>
          <w:tcPr>
            <w:tcW w:w="3117" w:type="dxa"/>
          </w:tcPr>
          <w:p w14:paraId="26C06F3E" w14:textId="7303DC5F" w:rsidR="00D357FB" w:rsidRPr="00C003BE" w:rsidRDefault="00E54708" w:rsidP="00677314">
            <w:pPr>
              <w:rPr>
                <w:rFonts w:ascii="Arial" w:hAnsi="Arial" w:cs="Arial"/>
                <w:sz w:val="20"/>
                <w:szCs w:val="20"/>
              </w:rPr>
            </w:pPr>
            <w:r w:rsidRPr="00C003BE">
              <w:rPr>
                <w:rFonts w:ascii="Arial" w:hAnsi="Arial" w:cs="Arial"/>
                <w:sz w:val="20"/>
                <w:szCs w:val="20"/>
              </w:rPr>
              <w:t>The IMPLAN model is acceptable.</w:t>
            </w:r>
          </w:p>
        </w:tc>
      </w:tr>
      <w:tr w:rsidR="00443885" w:rsidRPr="00C003BE" w14:paraId="337805E3" w14:textId="77777777" w:rsidTr="00000A0C">
        <w:tc>
          <w:tcPr>
            <w:tcW w:w="625" w:type="dxa"/>
          </w:tcPr>
          <w:p w14:paraId="57C245FF" w14:textId="6D118937" w:rsidR="00443885" w:rsidRPr="00C003BE" w:rsidRDefault="00587864" w:rsidP="00A80AAC">
            <w:pPr>
              <w:rPr>
                <w:rFonts w:ascii="Arial" w:hAnsi="Arial" w:cs="Arial"/>
                <w:sz w:val="20"/>
                <w:szCs w:val="20"/>
              </w:rPr>
            </w:pPr>
            <w:r w:rsidRPr="00C003BE">
              <w:rPr>
                <w:rFonts w:ascii="Arial" w:hAnsi="Arial" w:cs="Arial"/>
                <w:sz w:val="20"/>
                <w:szCs w:val="20"/>
              </w:rPr>
              <w:t>6.</w:t>
            </w:r>
          </w:p>
        </w:tc>
        <w:tc>
          <w:tcPr>
            <w:tcW w:w="5608" w:type="dxa"/>
          </w:tcPr>
          <w:p w14:paraId="0C98BA39" w14:textId="77777777" w:rsidR="0096080D" w:rsidRPr="00C003BE" w:rsidRDefault="0096080D" w:rsidP="0096080D">
            <w:pPr>
              <w:spacing w:line="252" w:lineRule="auto"/>
              <w:rPr>
                <w:rFonts w:ascii="Arial" w:eastAsia="Times New Roman" w:hAnsi="Arial" w:cs="Arial"/>
                <w:sz w:val="20"/>
                <w:szCs w:val="20"/>
              </w:rPr>
            </w:pPr>
            <w:r w:rsidRPr="00C003BE">
              <w:rPr>
                <w:rFonts w:ascii="Arial" w:eastAsia="Times New Roman" w:hAnsi="Arial" w:cs="Arial"/>
                <w:sz w:val="20"/>
                <w:szCs w:val="20"/>
              </w:rPr>
              <w:t>Can Gensler’s Draft University Hospital Facility Master Plan be shared with prospective bidders?</w:t>
            </w:r>
          </w:p>
          <w:p w14:paraId="53042AEA" w14:textId="149C083B" w:rsidR="00443885" w:rsidRPr="00C003BE" w:rsidRDefault="00443885" w:rsidP="00A80AAC">
            <w:pPr>
              <w:rPr>
                <w:rFonts w:ascii="Arial" w:hAnsi="Arial" w:cs="Arial"/>
                <w:i/>
                <w:iCs/>
                <w:sz w:val="20"/>
                <w:szCs w:val="20"/>
              </w:rPr>
            </w:pPr>
          </w:p>
        </w:tc>
        <w:tc>
          <w:tcPr>
            <w:tcW w:w="3117" w:type="dxa"/>
          </w:tcPr>
          <w:p w14:paraId="61EF46B2" w14:textId="2920F7A5" w:rsidR="00443885" w:rsidRPr="00C003BE" w:rsidRDefault="00F70570" w:rsidP="00677314">
            <w:pPr>
              <w:rPr>
                <w:rFonts w:ascii="Arial" w:hAnsi="Arial" w:cs="Arial"/>
                <w:sz w:val="20"/>
                <w:szCs w:val="20"/>
              </w:rPr>
            </w:pPr>
            <w:r w:rsidRPr="00C003BE">
              <w:rPr>
                <w:rFonts w:ascii="Arial" w:hAnsi="Arial" w:cs="Arial"/>
                <w:sz w:val="20"/>
                <w:szCs w:val="20"/>
              </w:rPr>
              <w:t xml:space="preserve">Yes, </w:t>
            </w:r>
            <w:r w:rsidR="00411E94" w:rsidRPr="00C003BE">
              <w:rPr>
                <w:rFonts w:ascii="Arial" w:hAnsi="Arial" w:cs="Arial"/>
                <w:sz w:val="20"/>
                <w:szCs w:val="20"/>
              </w:rPr>
              <w:t>UH will provide</w:t>
            </w:r>
            <w:r w:rsidRPr="00C003BE">
              <w:rPr>
                <w:rFonts w:ascii="Arial" w:hAnsi="Arial" w:cs="Arial"/>
                <w:sz w:val="20"/>
                <w:szCs w:val="20"/>
              </w:rPr>
              <w:t xml:space="preserve"> the presentation </w:t>
            </w:r>
            <w:r w:rsidR="00965437">
              <w:rPr>
                <w:rFonts w:ascii="Arial" w:hAnsi="Arial" w:cs="Arial"/>
                <w:sz w:val="20"/>
                <w:szCs w:val="20"/>
              </w:rPr>
              <w:t>to the awardee.</w:t>
            </w:r>
          </w:p>
        </w:tc>
      </w:tr>
      <w:tr w:rsidR="00363C48" w:rsidRPr="00C003BE" w14:paraId="4DCA8455" w14:textId="77777777" w:rsidTr="00000A0C">
        <w:tc>
          <w:tcPr>
            <w:tcW w:w="625" w:type="dxa"/>
          </w:tcPr>
          <w:p w14:paraId="29F8B792" w14:textId="7CF246EE" w:rsidR="00363C48" w:rsidRPr="00C003BE" w:rsidRDefault="00363C48" w:rsidP="00363C48">
            <w:pPr>
              <w:rPr>
                <w:rFonts w:ascii="Arial" w:hAnsi="Arial" w:cs="Arial"/>
                <w:sz w:val="20"/>
                <w:szCs w:val="20"/>
              </w:rPr>
            </w:pPr>
            <w:r w:rsidRPr="00C003BE">
              <w:rPr>
                <w:rFonts w:ascii="Arial" w:hAnsi="Arial" w:cs="Arial"/>
                <w:sz w:val="20"/>
                <w:szCs w:val="20"/>
              </w:rPr>
              <w:t>7.</w:t>
            </w:r>
          </w:p>
        </w:tc>
        <w:tc>
          <w:tcPr>
            <w:tcW w:w="5608" w:type="dxa"/>
          </w:tcPr>
          <w:p w14:paraId="10385D39" w14:textId="77777777" w:rsidR="000E7D4E" w:rsidRPr="00C003BE" w:rsidRDefault="000E7D4E" w:rsidP="000E7D4E">
            <w:pPr>
              <w:spacing w:line="252" w:lineRule="auto"/>
              <w:rPr>
                <w:rFonts w:ascii="Arial" w:eastAsia="Times New Roman" w:hAnsi="Arial" w:cs="Arial"/>
                <w:sz w:val="20"/>
                <w:szCs w:val="20"/>
              </w:rPr>
            </w:pPr>
            <w:r w:rsidRPr="00C003BE">
              <w:rPr>
                <w:rFonts w:ascii="Arial" w:eastAsia="Times New Roman" w:hAnsi="Arial" w:cs="Arial"/>
                <w:sz w:val="20"/>
                <w:szCs w:val="20"/>
              </w:rPr>
              <w:t xml:space="preserve">The latest facility masterplan was presented to the Board of Directors in February of </w:t>
            </w:r>
            <w:proofErr w:type="gramStart"/>
            <w:r w:rsidRPr="00C003BE">
              <w:rPr>
                <w:rFonts w:ascii="Arial" w:eastAsia="Times New Roman" w:hAnsi="Arial" w:cs="Arial"/>
                <w:sz w:val="20"/>
                <w:szCs w:val="20"/>
              </w:rPr>
              <w:t>2023</w:t>
            </w:r>
            <w:proofErr w:type="gramEnd"/>
            <w:r w:rsidRPr="00C003BE">
              <w:rPr>
                <w:rFonts w:ascii="Arial" w:eastAsia="Times New Roman" w:hAnsi="Arial" w:cs="Arial"/>
                <w:sz w:val="20"/>
                <w:szCs w:val="20"/>
              </w:rPr>
              <w:t xml:space="preserve"> and it outlined a vision for the parcels mentioned in the RFP. How does that vision dovetail, if at all, with the proposed SOW?</w:t>
            </w:r>
          </w:p>
          <w:p w14:paraId="45A736B4" w14:textId="0041BFC8" w:rsidR="00363C48" w:rsidRPr="00C003BE" w:rsidRDefault="00363C48" w:rsidP="00363C48">
            <w:pPr>
              <w:rPr>
                <w:rFonts w:ascii="Arial" w:hAnsi="Arial" w:cs="Arial"/>
                <w:sz w:val="20"/>
                <w:szCs w:val="20"/>
              </w:rPr>
            </w:pPr>
          </w:p>
        </w:tc>
        <w:tc>
          <w:tcPr>
            <w:tcW w:w="3117" w:type="dxa"/>
          </w:tcPr>
          <w:p w14:paraId="3AEA68FD" w14:textId="62FF22C8" w:rsidR="00363C48" w:rsidRPr="00C003BE" w:rsidRDefault="00F70570" w:rsidP="005812AC">
            <w:pPr>
              <w:rPr>
                <w:rFonts w:ascii="Arial" w:hAnsi="Arial" w:cs="Arial"/>
                <w:sz w:val="20"/>
                <w:szCs w:val="20"/>
              </w:rPr>
            </w:pPr>
            <w:r w:rsidRPr="00C003BE">
              <w:rPr>
                <w:rFonts w:ascii="Arial" w:hAnsi="Arial" w:cs="Arial"/>
                <w:sz w:val="20"/>
                <w:szCs w:val="20"/>
              </w:rPr>
              <w:t>The</w:t>
            </w:r>
            <w:r w:rsidR="00EA3CE7" w:rsidRPr="00C003BE">
              <w:rPr>
                <w:rFonts w:ascii="Arial" w:hAnsi="Arial" w:cs="Arial"/>
                <w:sz w:val="20"/>
                <w:szCs w:val="20"/>
              </w:rPr>
              <w:t xml:space="preserve"> draft UH </w:t>
            </w:r>
            <w:r w:rsidRPr="00C003BE">
              <w:rPr>
                <w:rFonts w:ascii="Arial" w:hAnsi="Arial" w:cs="Arial"/>
                <w:sz w:val="20"/>
                <w:szCs w:val="20"/>
              </w:rPr>
              <w:t xml:space="preserve">Master Plan presented in February 2023 focused on land required for use by the Hospital, which was presented following close collaboration with Rutgers University.  </w:t>
            </w:r>
            <w:r w:rsidR="00C003BE" w:rsidRPr="00C153D5">
              <w:rPr>
                <w:rFonts w:ascii="Arial" w:hAnsi="Arial" w:cs="Arial"/>
                <w:sz w:val="20"/>
                <w:szCs w:val="20"/>
              </w:rPr>
              <w:t>Though the UH Master Plan and this SOW consider different parcels, it is anticipated that the SOW would include consideration of the goals and objectives for the UH Master Plan parcels, as well as the Rutgers University Master Plan for Newark to ensure mutually beneficial outcomes</w:t>
            </w:r>
            <w:r w:rsidR="008438F3">
              <w:rPr>
                <w:rFonts w:ascii="Arial" w:hAnsi="Arial" w:cs="Arial"/>
                <w:sz w:val="20"/>
                <w:szCs w:val="20"/>
              </w:rPr>
              <w:t>.</w:t>
            </w:r>
          </w:p>
        </w:tc>
      </w:tr>
      <w:tr w:rsidR="00A80AAC" w:rsidRPr="00C003BE" w14:paraId="5F012E98" w14:textId="77777777" w:rsidTr="00000A0C">
        <w:tc>
          <w:tcPr>
            <w:tcW w:w="625" w:type="dxa"/>
          </w:tcPr>
          <w:p w14:paraId="02160E9F" w14:textId="3ED66462" w:rsidR="00A80AAC" w:rsidRPr="00C003BE" w:rsidRDefault="00677314" w:rsidP="00A80AAC">
            <w:pPr>
              <w:rPr>
                <w:rFonts w:ascii="Arial" w:hAnsi="Arial" w:cs="Arial"/>
                <w:sz w:val="20"/>
                <w:szCs w:val="20"/>
              </w:rPr>
            </w:pPr>
            <w:r w:rsidRPr="00C003BE">
              <w:rPr>
                <w:rFonts w:ascii="Arial" w:hAnsi="Arial" w:cs="Arial"/>
                <w:sz w:val="20"/>
                <w:szCs w:val="20"/>
              </w:rPr>
              <w:t>8</w:t>
            </w:r>
            <w:r w:rsidR="00000A0C" w:rsidRPr="00C003BE">
              <w:rPr>
                <w:rFonts w:ascii="Arial" w:hAnsi="Arial" w:cs="Arial"/>
                <w:sz w:val="20"/>
                <w:szCs w:val="20"/>
              </w:rPr>
              <w:t>.</w:t>
            </w:r>
          </w:p>
        </w:tc>
        <w:tc>
          <w:tcPr>
            <w:tcW w:w="5608" w:type="dxa"/>
          </w:tcPr>
          <w:p w14:paraId="6DA620E6" w14:textId="77777777" w:rsidR="000E7D4E" w:rsidRPr="00C003BE" w:rsidRDefault="000E7D4E" w:rsidP="000E7D4E">
            <w:pPr>
              <w:spacing w:line="252" w:lineRule="auto"/>
              <w:rPr>
                <w:rFonts w:ascii="Arial" w:eastAsia="Times New Roman" w:hAnsi="Arial" w:cs="Arial"/>
                <w:sz w:val="20"/>
                <w:szCs w:val="20"/>
              </w:rPr>
            </w:pPr>
            <w:r w:rsidRPr="00C003BE">
              <w:rPr>
                <w:rFonts w:ascii="Arial" w:eastAsia="Times New Roman" w:hAnsi="Arial" w:cs="Arial"/>
                <w:sz w:val="20"/>
                <w:szCs w:val="20"/>
              </w:rPr>
              <w:t>Are there other competing development plans / visions that the city has considered in the past that the consultant should know about?</w:t>
            </w:r>
          </w:p>
          <w:p w14:paraId="233B95D2" w14:textId="75670E3B" w:rsidR="00F74062" w:rsidRPr="00C003BE" w:rsidRDefault="00F74062" w:rsidP="00A80AAC">
            <w:pPr>
              <w:rPr>
                <w:rFonts w:ascii="Arial" w:hAnsi="Arial" w:cs="Arial"/>
                <w:sz w:val="20"/>
                <w:szCs w:val="20"/>
              </w:rPr>
            </w:pPr>
          </w:p>
        </w:tc>
        <w:tc>
          <w:tcPr>
            <w:tcW w:w="3117" w:type="dxa"/>
          </w:tcPr>
          <w:p w14:paraId="3FEF6BA3" w14:textId="227F7E24" w:rsidR="00B01A89" w:rsidRPr="00C003BE" w:rsidRDefault="00F70570" w:rsidP="00677314">
            <w:pPr>
              <w:rPr>
                <w:rFonts w:ascii="Arial" w:hAnsi="Arial" w:cs="Arial"/>
                <w:sz w:val="20"/>
                <w:szCs w:val="20"/>
              </w:rPr>
            </w:pPr>
            <w:r w:rsidRPr="00C003BE">
              <w:rPr>
                <w:rFonts w:ascii="Arial" w:hAnsi="Arial" w:cs="Arial"/>
                <w:sz w:val="20"/>
                <w:szCs w:val="20"/>
              </w:rPr>
              <w:t xml:space="preserve">Rutgers University </w:t>
            </w:r>
            <w:r w:rsidR="00C003BE">
              <w:rPr>
                <w:rFonts w:ascii="Arial" w:hAnsi="Arial" w:cs="Arial"/>
                <w:sz w:val="20"/>
                <w:szCs w:val="20"/>
              </w:rPr>
              <w:t xml:space="preserve">issued </w:t>
            </w:r>
            <w:r w:rsidRPr="00C003BE">
              <w:rPr>
                <w:rFonts w:ascii="Arial" w:hAnsi="Arial" w:cs="Arial"/>
                <w:sz w:val="20"/>
                <w:szCs w:val="20"/>
              </w:rPr>
              <w:t xml:space="preserve">a </w:t>
            </w:r>
            <w:r w:rsidR="00C003BE">
              <w:rPr>
                <w:rFonts w:ascii="Arial" w:hAnsi="Arial" w:cs="Arial"/>
                <w:sz w:val="20"/>
                <w:szCs w:val="20"/>
              </w:rPr>
              <w:t xml:space="preserve">Master Plan </w:t>
            </w:r>
            <w:r w:rsidRPr="00C003BE">
              <w:rPr>
                <w:rFonts w:ascii="Arial" w:hAnsi="Arial" w:cs="Arial"/>
                <w:sz w:val="20"/>
                <w:szCs w:val="20"/>
              </w:rPr>
              <w:t>for Newark, which can be found online</w:t>
            </w:r>
            <w:r w:rsidR="00C003BE">
              <w:rPr>
                <w:rFonts w:ascii="Arial" w:hAnsi="Arial" w:cs="Arial"/>
                <w:sz w:val="20"/>
                <w:szCs w:val="20"/>
              </w:rPr>
              <w:t xml:space="preserve"> </w:t>
            </w:r>
            <w:hyperlink r:id="rId7" w:history="1">
              <w:r w:rsidR="00C003BE" w:rsidRPr="00C003BE">
                <w:rPr>
                  <w:rStyle w:val="Hyperlink"/>
                  <w:rFonts w:ascii="Arial" w:hAnsi="Arial" w:cs="Arial"/>
                  <w:sz w:val="20"/>
                  <w:szCs w:val="20"/>
                </w:rPr>
                <w:t>here</w:t>
              </w:r>
            </w:hyperlink>
            <w:r w:rsidR="00C003BE">
              <w:rPr>
                <w:rFonts w:ascii="Arial" w:hAnsi="Arial" w:cs="Arial"/>
                <w:sz w:val="20"/>
                <w:szCs w:val="20"/>
              </w:rPr>
              <w:t xml:space="preserve">.  This should be considered in analyzing the highest and best use of the </w:t>
            </w:r>
            <w:r w:rsidR="002025CB">
              <w:rPr>
                <w:rFonts w:ascii="Arial" w:hAnsi="Arial" w:cs="Arial"/>
                <w:sz w:val="20"/>
                <w:szCs w:val="20"/>
              </w:rPr>
              <w:t>property</w:t>
            </w:r>
            <w:r w:rsidR="00965437">
              <w:rPr>
                <w:rFonts w:ascii="Arial" w:hAnsi="Arial" w:cs="Arial"/>
                <w:sz w:val="20"/>
                <w:szCs w:val="20"/>
              </w:rPr>
              <w:t>, along with the UH Master Plan</w:t>
            </w:r>
            <w:r w:rsidR="00C003BE">
              <w:rPr>
                <w:rFonts w:ascii="Arial" w:hAnsi="Arial" w:cs="Arial"/>
                <w:sz w:val="20"/>
                <w:szCs w:val="20"/>
              </w:rPr>
              <w:t>.</w:t>
            </w:r>
          </w:p>
        </w:tc>
      </w:tr>
      <w:tr w:rsidR="000E7D4E" w:rsidRPr="00C003BE" w14:paraId="7D215C83" w14:textId="77777777" w:rsidTr="00000A0C">
        <w:tc>
          <w:tcPr>
            <w:tcW w:w="625" w:type="dxa"/>
          </w:tcPr>
          <w:p w14:paraId="2015DE06" w14:textId="77777777" w:rsidR="000E7D4E" w:rsidRPr="00C003BE" w:rsidRDefault="000E7D4E" w:rsidP="00A80AAC">
            <w:pPr>
              <w:rPr>
                <w:rFonts w:ascii="Arial" w:hAnsi="Arial" w:cs="Arial"/>
                <w:sz w:val="20"/>
                <w:szCs w:val="20"/>
              </w:rPr>
            </w:pPr>
            <w:r w:rsidRPr="00C003BE">
              <w:rPr>
                <w:rFonts w:ascii="Arial" w:hAnsi="Arial" w:cs="Arial"/>
                <w:sz w:val="20"/>
                <w:szCs w:val="20"/>
              </w:rPr>
              <w:t>9.</w:t>
            </w:r>
          </w:p>
          <w:p w14:paraId="5F288A0F" w14:textId="1DDC1B73" w:rsidR="000E7D4E" w:rsidRPr="00C003BE" w:rsidRDefault="000E7D4E" w:rsidP="00A80AAC">
            <w:pPr>
              <w:rPr>
                <w:rFonts w:ascii="Arial" w:hAnsi="Arial" w:cs="Arial"/>
                <w:sz w:val="20"/>
                <w:szCs w:val="20"/>
              </w:rPr>
            </w:pPr>
          </w:p>
        </w:tc>
        <w:tc>
          <w:tcPr>
            <w:tcW w:w="5608" w:type="dxa"/>
          </w:tcPr>
          <w:p w14:paraId="1FB07715" w14:textId="77777777" w:rsidR="000E7D4E" w:rsidRPr="00C003BE" w:rsidRDefault="000E7D4E" w:rsidP="000E7D4E">
            <w:pPr>
              <w:spacing w:line="252" w:lineRule="auto"/>
              <w:rPr>
                <w:rFonts w:ascii="Arial" w:eastAsia="Times New Roman" w:hAnsi="Arial" w:cs="Arial"/>
                <w:sz w:val="20"/>
                <w:szCs w:val="20"/>
              </w:rPr>
            </w:pPr>
            <w:r w:rsidRPr="00C003BE">
              <w:rPr>
                <w:rFonts w:ascii="Arial" w:eastAsia="Times New Roman" w:hAnsi="Arial" w:cs="Arial"/>
                <w:sz w:val="20"/>
                <w:szCs w:val="20"/>
              </w:rPr>
              <w:t xml:space="preserve">Are there existing site conditions analysis / drawings available for consultant team to work off from? </w:t>
            </w:r>
          </w:p>
          <w:p w14:paraId="314548A0" w14:textId="77777777" w:rsidR="000E7D4E" w:rsidRPr="00C003BE" w:rsidRDefault="000E7D4E" w:rsidP="00A80AAC">
            <w:pPr>
              <w:rPr>
                <w:rFonts w:ascii="Arial" w:hAnsi="Arial" w:cs="Arial"/>
                <w:sz w:val="20"/>
                <w:szCs w:val="20"/>
              </w:rPr>
            </w:pPr>
          </w:p>
        </w:tc>
        <w:tc>
          <w:tcPr>
            <w:tcW w:w="3117" w:type="dxa"/>
          </w:tcPr>
          <w:p w14:paraId="4A000089" w14:textId="467B4AD2" w:rsidR="000E7D4E" w:rsidRPr="00C003BE" w:rsidRDefault="00F70570" w:rsidP="00677314">
            <w:pPr>
              <w:rPr>
                <w:rFonts w:ascii="Arial" w:hAnsi="Arial" w:cs="Arial"/>
                <w:sz w:val="20"/>
                <w:szCs w:val="20"/>
              </w:rPr>
            </w:pPr>
            <w:r w:rsidRPr="00C003BE">
              <w:rPr>
                <w:rFonts w:ascii="Arial" w:hAnsi="Arial" w:cs="Arial"/>
                <w:sz w:val="20"/>
                <w:szCs w:val="20"/>
              </w:rPr>
              <w:t xml:space="preserve">University Hospital and Rutgers have campus maps that can be provided </w:t>
            </w:r>
            <w:r w:rsidR="008438F3">
              <w:rPr>
                <w:rFonts w:ascii="Arial" w:hAnsi="Arial" w:cs="Arial"/>
                <w:sz w:val="20"/>
                <w:szCs w:val="20"/>
              </w:rPr>
              <w:t xml:space="preserve">to the awardee </w:t>
            </w:r>
            <w:r w:rsidRPr="00C003BE">
              <w:rPr>
                <w:rFonts w:ascii="Arial" w:hAnsi="Arial" w:cs="Arial"/>
                <w:sz w:val="20"/>
                <w:szCs w:val="20"/>
              </w:rPr>
              <w:t>to assist in this review.</w:t>
            </w:r>
            <w:r w:rsidR="00965437">
              <w:rPr>
                <w:rFonts w:ascii="Arial" w:hAnsi="Arial" w:cs="Arial"/>
                <w:sz w:val="20"/>
                <w:szCs w:val="20"/>
              </w:rPr>
              <w:t xml:space="preserve"> </w:t>
            </w:r>
          </w:p>
        </w:tc>
      </w:tr>
      <w:tr w:rsidR="00A80AAC" w:rsidRPr="00C003BE" w14:paraId="55FA622A" w14:textId="77777777" w:rsidTr="002104FE">
        <w:tc>
          <w:tcPr>
            <w:tcW w:w="9350" w:type="dxa"/>
            <w:gridSpan w:val="3"/>
            <w:shd w:val="clear" w:color="auto" w:fill="D9E2F3" w:themeFill="accent1" w:themeFillTint="33"/>
          </w:tcPr>
          <w:p w14:paraId="755EEEC1" w14:textId="645AB3FB" w:rsidR="00A80AAC" w:rsidRPr="00C003BE" w:rsidRDefault="00A80AAC" w:rsidP="00A80AAC">
            <w:pPr>
              <w:spacing w:before="120" w:after="120"/>
              <w:rPr>
                <w:rFonts w:ascii="Arial" w:hAnsi="Arial" w:cs="Arial"/>
                <w:b/>
                <w:bCs/>
                <w:sz w:val="20"/>
                <w:szCs w:val="20"/>
              </w:rPr>
            </w:pPr>
            <w:r w:rsidRPr="00C003BE">
              <w:rPr>
                <w:rFonts w:ascii="Arial" w:hAnsi="Arial" w:cs="Arial"/>
                <w:b/>
                <w:bCs/>
                <w:sz w:val="20"/>
                <w:szCs w:val="20"/>
              </w:rPr>
              <w:t>Part 2:  Additions, Deletions, Clarifications &amp; Modifications to the RFP</w:t>
            </w:r>
          </w:p>
        </w:tc>
      </w:tr>
      <w:tr w:rsidR="00A80AAC" w:rsidRPr="00C003BE" w14:paraId="2AE29262" w14:textId="77777777" w:rsidTr="00000A0C">
        <w:tc>
          <w:tcPr>
            <w:tcW w:w="625" w:type="dxa"/>
          </w:tcPr>
          <w:p w14:paraId="0FF7D6C2" w14:textId="5147784C" w:rsidR="00A80AAC" w:rsidRPr="00C003BE" w:rsidRDefault="00A80AAC" w:rsidP="00A80AAC">
            <w:pPr>
              <w:spacing w:before="120" w:after="120"/>
              <w:rPr>
                <w:rFonts w:ascii="Arial" w:hAnsi="Arial" w:cs="Arial"/>
                <w:sz w:val="20"/>
                <w:szCs w:val="20"/>
              </w:rPr>
            </w:pPr>
            <w:r w:rsidRPr="00C003BE">
              <w:rPr>
                <w:rFonts w:ascii="Arial" w:hAnsi="Arial" w:cs="Arial"/>
                <w:sz w:val="20"/>
                <w:szCs w:val="20"/>
              </w:rPr>
              <w:t>No.</w:t>
            </w:r>
          </w:p>
        </w:tc>
        <w:tc>
          <w:tcPr>
            <w:tcW w:w="5608" w:type="dxa"/>
          </w:tcPr>
          <w:p w14:paraId="31F693C3" w14:textId="60B6BFE7" w:rsidR="00A80AAC" w:rsidRPr="00C003BE" w:rsidRDefault="00A80AAC" w:rsidP="00A80AAC">
            <w:pPr>
              <w:spacing w:before="120" w:after="120"/>
              <w:rPr>
                <w:rFonts w:ascii="Arial" w:hAnsi="Arial" w:cs="Arial"/>
                <w:sz w:val="20"/>
                <w:szCs w:val="20"/>
              </w:rPr>
            </w:pPr>
            <w:r w:rsidRPr="00C003BE">
              <w:rPr>
                <w:rFonts w:ascii="Arial" w:hAnsi="Arial" w:cs="Arial"/>
                <w:sz w:val="20"/>
                <w:szCs w:val="20"/>
              </w:rPr>
              <w:t>Description</w:t>
            </w:r>
          </w:p>
        </w:tc>
        <w:tc>
          <w:tcPr>
            <w:tcW w:w="3117" w:type="dxa"/>
          </w:tcPr>
          <w:p w14:paraId="5B8F7E06" w14:textId="1C0EE99D" w:rsidR="00A80AAC" w:rsidRPr="00C003BE" w:rsidRDefault="00A80AAC" w:rsidP="00A80AAC">
            <w:pPr>
              <w:spacing w:before="120" w:after="120"/>
              <w:rPr>
                <w:rFonts w:ascii="Arial" w:hAnsi="Arial" w:cs="Arial"/>
                <w:sz w:val="20"/>
                <w:szCs w:val="20"/>
              </w:rPr>
            </w:pPr>
            <w:r w:rsidRPr="00C003BE">
              <w:rPr>
                <w:rFonts w:ascii="Arial" w:hAnsi="Arial" w:cs="Arial"/>
                <w:sz w:val="20"/>
                <w:szCs w:val="20"/>
              </w:rPr>
              <w:t>Clarification/Modification</w:t>
            </w:r>
          </w:p>
        </w:tc>
      </w:tr>
      <w:tr w:rsidR="00A80AAC" w:rsidRPr="00C003BE" w14:paraId="3B31A28B" w14:textId="77777777" w:rsidTr="00000A0C">
        <w:tc>
          <w:tcPr>
            <w:tcW w:w="625" w:type="dxa"/>
          </w:tcPr>
          <w:p w14:paraId="1E860B1A" w14:textId="79F3BFB2" w:rsidR="00A80AAC" w:rsidRPr="00C003BE" w:rsidRDefault="00000A0C" w:rsidP="00A80AAC">
            <w:pPr>
              <w:rPr>
                <w:rFonts w:ascii="Arial" w:hAnsi="Arial" w:cs="Arial"/>
                <w:sz w:val="20"/>
                <w:szCs w:val="20"/>
              </w:rPr>
            </w:pPr>
            <w:r w:rsidRPr="00C003BE">
              <w:rPr>
                <w:rFonts w:ascii="Arial" w:hAnsi="Arial" w:cs="Arial"/>
                <w:sz w:val="20"/>
                <w:szCs w:val="20"/>
              </w:rPr>
              <w:t>1.</w:t>
            </w:r>
          </w:p>
        </w:tc>
        <w:tc>
          <w:tcPr>
            <w:tcW w:w="5608" w:type="dxa"/>
          </w:tcPr>
          <w:p w14:paraId="1764B106" w14:textId="6B60DECE" w:rsidR="00A80AAC" w:rsidRPr="00C003BE" w:rsidRDefault="009A5DD5" w:rsidP="00A80AAC">
            <w:pPr>
              <w:rPr>
                <w:rFonts w:ascii="Arial" w:hAnsi="Arial" w:cs="Arial"/>
                <w:sz w:val="20"/>
                <w:szCs w:val="20"/>
              </w:rPr>
            </w:pPr>
            <w:r w:rsidRPr="00C003BE">
              <w:rPr>
                <w:rFonts w:ascii="Arial" w:hAnsi="Arial" w:cs="Arial"/>
                <w:sz w:val="20"/>
                <w:szCs w:val="20"/>
              </w:rPr>
              <w:t>Modification to Section 4.2.1 II. C.</w:t>
            </w:r>
          </w:p>
        </w:tc>
        <w:tc>
          <w:tcPr>
            <w:tcW w:w="3117" w:type="dxa"/>
          </w:tcPr>
          <w:p w14:paraId="0CE7FF16" w14:textId="1D807321" w:rsidR="00A80AAC" w:rsidRPr="00C003BE" w:rsidRDefault="009A5DD5" w:rsidP="009A5DD5">
            <w:pPr>
              <w:pStyle w:val="Default"/>
              <w:rPr>
                <w:color w:val="auto"/>
                <w:sz w:val="20"/>
                <w:szCs w:val="20"/>
              </w:rPr>
            </w:pPr>
            <w:r w:rsidRPr="00C003BE">
              <w:rPr>
                <w:color w:val="auto"/>
                <w:sz w:val="20"/>
                <w:szCs w:val="20"/>
              </w:rPr>
              <w:t xml:space="preserve">The Proposer shall also set forth a detailed work plan that will accomplish the requirements of the Scope of Work, Section 3.0, including an outline of a proposed meeting schedule with Authority staff and timeline for key milestones and ability to complete the scope of work within the </w:t>
            </w:r>
            <w:proofErr w:type="gramStart"/>
            <w:r w:rsidRPr="00C003BE">
              <w:rPr>
                <w:color w:val="auto"/>
                <w:sz w:val="20"/>
                <w:szCs w:val="20"/>
              </w:rPr>
              <w:t>120 day</w:t>
            </w:r>
            <w:proofErr w:type="gramEnd"/>
            <w:r w:rsidRPr="00C003BE">
              <w:rPr>
                <w:color w:val="auto"/>
                <w:sz w:val="20"/>
                <w:szCs w:val="20"/>
              </w:rPr>
              <w:t xml:space="preserve"> maximum timeline. </w:t>
            </w:r>
          </w:p>
        </w:tc>
      </w:tr>
    </w:tbl>
    <w:p w14:paraId="6A25A005" w14:textId="136AE5D7" w:rsidR="00A80AAC" w:rsidRPr="00C003BE" w:rsidRDefault="00A80AAC" w:rsidP="00A80AAC">
      <w:pPr>
        <w:rPr>
          <w:rFonts w:ascii="Arial" w:hAnsi="Arial" w:cs="Arial"/>
          <w:sz w:val="20"/>
          <w:szCs w:val="20"/>
        </w:rPr>
      </w:pPr>
    </w:p>
    <w:p w14:paraId="07002CD8" w14:textId="77777777" w:rsidR="00A80AAC" w:rsidRPr="00C003BE" w:rsidRDefault="00A80AAC" w:rsidP="00A80AAC">
      <w:pPr>
        <w:rPr>
          <w:rFonts w:ascii="Arial" w:hAnsi="Arial" w:cs="Arial"/>
          <w:sz w:val="20"/>
          <w:szCs w:val="20"/>
        </w:rPr>
      </w:pPr>
    </w:p>
    <w:p w14:paraId="6A0D827F" w14:textId="77777777" w:rsidR="00EE4FE5" w:rsidRPr="00C153D5" w:rsidRDefault="00EE4FE5">
      <w:pPr>
        <w:rPr>
          <w:rFonts w:ascii="Arial" w:hAnsi="Arial" w:cs="Arial"/>
          <w:sz w:val="20"/>
          <w:szCs w:val="20"/>
        </w:rPr>
      </w:pPr>
    </w:p>
    <w:sectPr w:rsidR="00EE4FE5" w:rsidRPr="00C153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23249" w14:textId="77777777" w:rsidR="00DE3BFF" w:rsidRDefault="00DE3BFF" w:rsidP="00A80AAC">
      <w:pPr>
        <w:spacing w:after="0" w:line="240" w:lineRule="auto"/>
      </w:pPr>
      <w:r>
        <w:separator/>
      </w:r>
    </w:p>
  </w:endnote>
  <w:endnote w:type="continuationSeparator" w:id="0">
    <w:p w14:paraId="05A3DDCE" w14:textId="77777777" w:rsidR="00DE3BFF" w:rsidRDefault="00DE3BFF" w:rsidP="00A80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D6475" w14:textId="77777777" w:rsidR="00DE3BFF" w:rsidRDefault="00DE3BFF" w:rsidP="00A80AAC">
      <w:pPr>
        <w:spacing w:after="0" w:line="240" w:lineRule="auto"/>
      </w:pPr>
      <w:r>
        <w:separator/>
      </w:r>
    </w:p>
  </w:footnote>
  <w:footnote w:type="continuationSeparator" w:id="0">
    <w:p w14:paraId="03B53261" w14:textId="77777777" w:rsidR="00DE3BFF" w:rsidRDefault="00DE3BFF" w:rsidP="00A80A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AAF"/>
    <w:multiLevelType w:val="hybridMultilevel"/>
    <w:tmpl w:val="CAACA9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1E8227C"/>
    <w:multiLevelType w:val="hybridMultilevel"/>
    <w:tmpl w:val="90021F68"/>
    <w:lvl w:ilvl="0" w:tplc="A4247EA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1C440D"/>
    <w:multiLevelType w:val="hybridMultilevel"/>
    <w:tmpl w:val="D15C6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8C1F67"/>
    <w:multiLevelType w:val="hybridMultilevel"/>
    <w:tmpl w:val="CAACA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2E81FC0"/>
    <w:multiLevelType w:val="hybridMultilevel"/>
    <w:tmpl w:val="CAACA9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E5"/>
    <w:rsid w:val="00000A0C"/>
    <w:rsid w:val="000471C0"/>
    <w:rsid w:val="000D7E48"/>
    <w:rsid w:val="000E7D4E"/>
    <w:rsid w:val="0013746E"/>
    <w:rsid w:val="00152D10"/>
    <w:rsid w:val="001728D0"/>
    <w:rsid w:val="0018537A"/>
    <w:rsid w:val="00195326"/>
    <w:rsid w:val="001A0123"/>
    <w:rsid w:val="001C3D5B"/>
    <w:rsid w:val="001E05C9"/>
    <w:rsid w:val="002025CB"/>
    <w:rsid w:val="002104FE"/>
    <w:rsid w:val="00212C38"/>
    <w:rsid w:val="00245B61"/>
    <w:rsid w:val="002D73A9"/>
    <w:rsid w:val="00301858"/>
    <w:rsid w:val="003509EE"/>
    <w:rsid w:val="00350AF5"/>
    <w:rsid w:val="00363C48"/>
    <w:rsid w:val="003D414A"/>
    <w:rsid w:val="00411E94"/>
    <w:rsid w:val="00443885"/>
    <w:rsid w:val="00491E8B"/>
    <w:rsid w:val="004D5F3C"/>
    <w:rsid w:val="004E7136"/>
    <w:rsid w:val="004F7A9D"/>
    <w:rsid w:val="00515B60"/>
    <w:rsid w:val="00556E35"/>
    <w:rsid w:val="005812AC"/>
    <w:rsid w:val="00587864"/>
    <w:rsid w:val="005D6AC1"/>
    <w:rsid w:val="005E7881"/>
    <w:rsid w:val="00636CCD"/>
    <w:rsid w:val="00646584"/>
    <w:rsid w:val="00677314"/>
    <w:rsid w:val="007331DA"/>
    <w:rsid w:val="0075623A"/>
    <w:rsid w:val="00772BFF"/>
    <w:rsid w:val="007F1DE9"/>
    <w:rsid w:val="007F2573"/>
    <w:rsid w:val="008438F3"/>
    <w:rsid w:val="00863972"/>
    <w:rsid w:val="0088465B"/>
    <w:rsid w:val="00897644"/>
    <w:rsid w:val="00904DA3"/>
    <w:rsid w:val="0096080D"/>
    <w:rsid w:val="00964C8E"/>
    <w:rsid w:val="00965437"/>
    <w:rsid w:val="009A5DD5"/>
    <w:rsid w:val="009C6457"/>
    <w:rsid w:val="00A00A72"/>
    <w:rsid w:val="00A43B13"/>
    <w:rsid w:val="00A52EAD"/>
    <w:rsid w:val="00A80AAC"/>
    <w:rsid w:val="00AA7C90"/>
    <w:rsid w:val="00AF7A1B"/>
    <w:rsid w:val="00B01A89"/>
    <w:rsid w:val="00B57094"/>
    <w:rsid w:val="00B82FA1"/>
    <w:rsid w:val="00BF716C"/>
    <w:rsid w:val="00C003BE"/>
    <w:rsid w:val="00C153D5"/>
    <w:rsid w:val="00C17FFC"/>
    <w:rsid w:val="00C501EA"/>
    <w:rsid w:val="00C62490"/>
    <w:rsid w:val="00D04BFF"/>
    <w:rsid w:val="00D17061"/>
    <w:rsid w:val="00D357FB"/>
    <w:rsid w:val="00D42AEB"/>
    <w:rsid w:val="00D8763B"/>
    <w:rsid w:val="00DE3BFF"/>
    <w:rsid w:val="00DF6DDC"/>
    <w:rsid w:val="00E04D43"/>
    <w:rsid w:val="00E54708"/>
    <w:rsid w:val="00EA3CE7"/>
    <w:rsid w:val="00EE4FE5"/>
    <w:rsid w:val="00F26C75"/>
    <w:rsid w:val="00F45217"/>
    <w:rsid w:val="00F51536"/>
    <w:rsid w:val="00F70570"/>
    <w:rsid w:val="00F74062"/>
    <w:rsid w:val="00FA5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8E3EC"/>
  <w15:chartTrackingRefBased/>
  <w15:docId w15:val="{9B11852E-8C69-4933-BF50-B69EEEF6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E5"/>
    <w:rPr>
      <w:rFonts w:ascii="Segoe UI" w:hAnsi="Segoe UI" w:cs="Segoe UI"/>
      <w:sz w:val="18"/>
      <w:szCs w:val="18"/>
    </w:rPr>
  </w:style>
  <w:style w:type="paragraph" w:styleId="ListParagraph">
    <w:name w:val="List Paragraph"/>
    <w:basedOn w:val="Normal"/>
    <w:uiPriority w:val="34"/>
    <w:qFormat/>
    <w:rsid w:val="00A80AAC"/>
    <w:pPr>
      <w:ind w:left="720"/>
      <w:contextualSpacing/>
    </w:pPr>
  </w:style>
  <w:style w:type="table" w:styleId="TableGrid">
    <w:name w:val="Table Grid"/>
    <w:basedOn w:val="TableNormal"/>
    <w:uiPriority w:val="39"/>
    <w:rsid w:val="00A80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0A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AAC"/>
  </w:style>
  <w:style w:type="paragraph" w:styleId="Footer">
    <w:name w:val="footer"/>
    <w:basedOn w:val="Normal"/>
    <w:link w:val="FooterChar"/>
    <w:uiPriority w:val="99"/>
    <w:unhideWhenUsed/>
    <w:rsid w:val="00A80A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AAC"/>
  </w:style>
  <w:style w:type="paragraph" w:customStyle="1" w:styleId="Default">
    <w:name w:val="Default"/>
    <w:rsid w:val="009A5DD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70570"/>
    <w:rPr>
      <w:sz w:val="16"/>
      <w:szCs w:val="16"/>
    </w:rPr>
  </w:style>
  <w:style w:type="paragraph" w:styleId="CommentText">
    <w:name w:val="annotation text"/>
    <w:basedOn w:val="Normal"/>
    <w:link w:val="CommentTextChar"/>
    <w:uiPriority w:val="99"/>
    <w:semiHidden/>
    <w:unhideWhenUsed/>
    <w:rsid w:val="00F70570"/>
    <w:pPr>
      <w:spacing w:line="240" w:lineRule="auto"/>
    </w:pPr>
    <w:rPr>
      <w:sz w:val="20"/>
      <w:szCs w:val="20"/>
    </w:rPr>
  </w:style>
  <w:style w:type="character" w:customStyle="1" w:styleId="CommentTextChar">
    <w:name w:val="Comment Text Char"/>
    <w:basedOn w:val="DefaultParagraphFont"/>
    <w:link w:val="CommentText"/>
    <w:uiPriority w:val="99"/>
    <w:semiHidden/>
    <w:rsid w:val="00F70570"/>
    <w:rPr>
      <w:sz w:val="20"/>
      <w:szCs w:val="20"/>
    </w:rPr>
  </w:style>
  <w:style w:type="paragraph" w:styleId="CommentSubject">
    <w:name w:val="annotation subject"/>
    <w:basedOn w:val="CommentText"/>
    <w:next w:val="CommentText"/>
    <w:link w:val="CommentSubjectChar"/>
    <w:uiPriority w:val="99"/>
    <w:semiHidden/>
    <w:unhideWhenUsed/>
    <w:rsid w:val="00F70570"/>
    <w:rPr>
      <w:b/>
      <w:bCs/>
    </w:rPr>
  </w:style>
  <w:style w:type="character" w:customStyle="1" w:styleId="CommentSubjectChar">
    <w:name w:val="Comment Subject Char"/>
    <w:basedOn w:val="CommentTextChar"/>
    <w:link w:val="CommentSubject"/>
    <w:uiPriority w:val="99"/>
    <w:semiHidden/>
    <w:rsid w:val="00F70570"/>
    <w:rPr>
      <w:b/>
      <w:bCs/>
      <w:sz w:val="20"/>
      <w:szCs w:val="20"/>
    </w:rPr>
  </w:style>
  <w:style w:type="character" w:styleId="Hyperlink">
    <w:name w:val="Hyperlink"/>
    <w:basedOn w:val="DefaultParagraphFont"/>
    <w:uiPriority w:val="99"/>
    <w:unhideWhenUsed/>
    <w:rsid w:val="00C003BE"/>
    <w:rPr>
      <w:color w:val="0563C1" w:themeColor="hyperlink"/>
      <w:u w:val="single"/>
    </w:rPr>
  </w:style>
  <w:style w:type="character" w:styleId="UnresolvedMention">
    <w:name w:val="Unresolved Mention"/>
    <w:basedOn w:val="DefaultParagraphFont"/>
    <w:uiPriority w:val="99"/>
    <w:semiHidden/>
    <w:unhideWhenUsed/>
    <w:rsid w:val="00C00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95067">
      <w:bodyDiv w:val="1"/>
      <w:marLeft w:val="0"/>
      <w:marRight w:val="0"/>
      <w:marTop w:val="0"/>
      <w:marBottom w:val="0"/>
      <w:divBdr>
        <w:top w:val="none" w:sz="0" w:space="0" w:color="auto"/>
        <w:left w:val="none" w:sz="0" w:space="0" w:color="auto"/>
        <w:bottom w:val="none" w:sz="0" w:space="0" w:color="auto"/>
        <w:right w:val="none" w:sz="0" w:space="0" w:color="auto"/>
      </w:divBdr>
    </w:div>
    <w:div w:id="94592614">
      <w:bodyDiv w:val="1"/>
      <w:marLeft w:val="0"/>
      <w:marRight w:val="0"/>
      <w:marTop w:val="0"/>
      <w:marBottom w:val="0"/>
      <w:divBdr>
        <w:top w:val="none" w:sz="0" w:space="0" w:color="auto"/>
        <w:left w:val="none" w:sz="0" w:space="0" w:color="auto"/>
        <w:bottom w:val="none" w:sz="0" w:space="0" w:color="auto"/>
        <w:right w:val="none" w:sz="0" w:space="0" w:color="auto"/>
      </w:divBdr>
    </w:div>
    <w:div w:id="357003197">
      <w:bodyDiv w:val="1"/>
      <w:marLeft w:val="0"/>
      <w:marRight w:val="0"/>
      <w:marTop w:val="0"/>
      <w:marBottom w:val="0"/>
      <w:divBdr>
        <w:top w:val="none" w:sz="0" w:space="0" w:color="auto"/>
        <w:left w:val="none" w:sz="0" w:space="0" w:color="auto"/>
        <w:bottom w:val="none" w:sz="0" w:space="0" w:color="auto"/>
        <w:right w:val="none" w:sz="0" w:space="0" w:color="auto"/>
      </w:divBdr>
    </w:div>
    <w:div w:id="620111522">
      <w:bodyDiv w:val="1"/>
      <w:marLeft w:val="0"/>
      <w:marRight w:val="0"/>
      <w:marTop w:val="0"/>
      <w:marBottom w:val="0"/>
      <w:divBdr>
        <w:top w:val="none" w:sz="0" w:space="0" w:color="auto"/>
        <w:left w:val="none" w:sz="0" w:space="0" w:color="auto"/>
        <w:bottom w:val="none" w:sz="0" w:space="0" w:color="auto"/>
        <w:right w:val="none" w:sz="0" w:space="0" w:color="auto"/>
      </w:divBdr>
    </w:div>
    <w:div w:id="694886891">
      <w:bodyDiv w:val="1"/>
      <w:marLeft w:val="0"/>
      <w:marRight w:val="0"/>
      <w:marTop w:val="0"/>
      <w:marBottom w:val="0"/>
      <w:divBdr>
        <w:top w:val="none" w:sz="0" w:space="0" w:color="auto"/>
        <w:left w:val="none" w:sz="0" w:space="0" w:color="auto"/>
        <w:bottom w:val="none" w:sz="0" w:space="0" w:color="auto"/>
        <w:right w:val="none" w:sz="0" w:space="0" w:color="auto"/>
      </w:divBdr>
    </w:div>
    <w:div w:id="839927655">
      <w:bodyDiv w:val="1"/>
      <w:marLeft w:val="0"/>
      <w:marRight w:val="0"/>
      <w:marTop w:val="0"/>
      <w:marBottom w:val="0"/>
      <w:divBdr>
        <w:top w:val="none" w:sz="0" w:space="0" w:color="auto"/>
        <w:left w:val="none" w:sz="0" w:space="0" w:color="auto"/>
        <w:bottom w:val="none" w:sz="0" w:space="0" w:color="auto"/>
        <w:right w:val="none" w:sz="0" w:space="0" w:color="auto"/>
      </w:divBdr>
    </w:div>
    <w:div w:id="1431006462">
      <w:bodyDiv w:val="1"/>
      <w:marLeft w:val="0"/>
      <w:marRight w:val="0"/>
      <w:marTop w:val="0"/>
      <w:marBottom w:val="0"/>
      <w:divBdr>
        <w:top w:val="none" w:sz="0" w:space="0" w:color="auto"/>
        <w:left w:val="none" w:sz="0" w:space="0" w:color="auto"/>
        <w:bottom w:val="none" w:sz="0" w:space="0" w:color="auto"/>
        <w:right w:val="none" w:sz="0" w:space="0" w:color="auto"/>
      </w:divBdr>
    </w:div>
    <w:div w:id="175177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sterplan.rutgers.edu/reports/rutgers-2030-volume-2-newar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Julie McGowan</cp:lastModifiedBy>
  <cp:revision>2</cp:revision>
  <dcterms:created xsi:type="dcterms:W3CDTF">2023-02-24T14:50:00Z</dcterms:created>
  <dcterms:modified xsi:type="dcterms:W3CDTF">2023-02-24T14:50:00Z</dcterms:modified>
</cp:coreProperties>
</file>